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8B0" w:rsidRPr="000468B0" w:rsidRDefault="00551CAB" w:rsidP="000468B0">
      <w:pPr>
        <w:jc w:val="right"/>
        <w:rPr>
          <w:rFonts w:ascii="Times New Roman" w:hAnsi="Times New Roman" w:cs="Times New Roman"/>
          <w:b/>
          <w:bCs/>
          <w:sz w:val="20"/>
          <w:szCs w:val="20"/>
        </w:rPr>
      </w:pPr>
      <w:r w:rsidRPr="003A1B35">
        <w:rPr>
          <w:rFonts w:ascii="Times New Roman" w:hAnsi="Times New Roman" w:cs="Times New Roman"/>
          <w:b/>
          <w:sz w:val="20"/>
          <w:szCs w:val="20"/>
        </w:rPr>
        <w:t xml:space="preserve">Tabella di comparazione </w:t>
      </w:r>
      <w:r w:rsidR="000468B0">
        <w:rPr>
          <w:rFonts w:ascii="Times New Roman" w:hAnsi="Times New Roman" w:cs="Times New Roman"/>
          <w:b/>
          <w:sz w:val="20"/>
          <w:szCs w:val="20"/>
        </w:rPr>
        <w:t xml:space="preserve">Regolamenti </w:t>
      </w:r>
      <w:r w:rsidR="000468B0" w:rsidRPr="000468B0">
        <w:rPr>
          <w:rFonts w:ascii="Times New Roman" w:hAnsi="Times New Roman" w:cs="Times New Roman"/>
          <w:b/>
          <w:bCs/>
          <w:sz w:val="20"/>
          <w:szCs w:val="20"/>
        </w:rPr>
        <w:t>2014- 2020</w:t>
      </w:r>
      <w:r w:rsidR="000468B0">
        <w:rPr>
          <w:rFonts w:ascii="Times New Roman" w:hAnsi="Times New Roman" w:cs="Times New Roman"/>
          <w:b/>
          <w:bCs/>
          <w:sz w:val="20"/>
          <w:szCs w:val="20"/>
        </w:rPr>
        <w:t xml:space="preserve"> / 2007-2013</w:t>
      </w:r>
    </w:p>
    <w:tbl>
      <w:tblPr>
        <w:tblStyle w:val="Grigliatabella"/>
        <w:tblW w:w="0" w:type="auto"/>
        <w:tblLook w:val="04A0" w:firstRow="1" w:lastRow="0" w:firstColumn="1" w:lastColumn="0" w:noHBand="0" w:noVBand="1"/>
      </w:tblPr>
      <w:tblGrid>
        <w:gridCol w:w="7628"/>
        <w:gridCol w:w="7629"/>
      </w:tblGrid>
      <w:tr w:rsidR="00243F54" w:rsidRPr="003A1B35" w:rsidTr="00243F54">
        <w:trPr>
          <w:trHeight w:val="428"/>
        </w:trPr>
        <w:tc>
          <w:tcPr>
            <w:tcW w:w="1525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243F54" w:rsidRPr="003A1B35" w:rsidRDefault="00243F54" w:rsidP="00243F54">
            <w:pPr>
              <w:jc w:val="center"/>
              <w:rPr>
                <w:rFonts w:ascii="Times New Roman" w:hAnsi="Times New Roman" w:cs="Times New Roman"/>
                <w:b/>
                <w:bCs/>
                <w:sz w:val="20"/>
                <w:szCs w:val="20"/>
              </w:rPr>
            </w:pPr>
            <w:r w:rsidRPr="003A1B35">
              <w:rPr>
                <w:rFonts w:ascii="Times New Roman" w:hAnsi="Times New Roman" w:cs="Times New Roman"/>
                <w:b/>
                <w:bCs/>
                <w:sz w:val="20"/>
                <w:szCs w:val="20"/>
              </w:rPr>
              <w:t>MONITORAGGIO E VALUTAZIONE</w:t>
            </w:r>
          </w:p>
        </w:tc>
      </w:tr>
      <w:tr w:rsidR="00E05910" w:rsidRPr="003A1B35" w:rsidTr="00243F54">
        <w:trPr>
          <w:trHeight w:val="570"/>
        </w:trPr>
        <w:tc>
          <w:tcPr>
            <w:tcW w:w="762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05910" w:rsidRPr="006C6359" w:rsidRDefault="00E05910" w:rsidP="00E05910">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NUOVO REGOLAMENTO FSE [2014- 2020]</w:t>
            </w:r>
          </w:p>
          <w:p w:rsidR="00E05910" w:rsidRPr="006C6359" w:rsidRDefault="00E05910" w:rsidP="00E05910">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Regolamento UE 1304/2013 del Parlamento e del Consiglio</w:t>
            </w:r>
          </w:p>
        </w:tc>
        <w:tc>
          <w:tcPr>
            <w:tcW w:w="762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05910" w:rsidRPr="006C6359" w:rsidRDefault="00E05910" w:rsidP="00E05910">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REGOLAMENTO FSE [2007-2013]</w:t>
            </w:r>
          </w:p>
          <w:p w:rsidR="00E05910" w:rsidRPr="006C6359" w:rsidRDefault="00E05910" w:rsidP="00E05910">
            <w:pPr>
              <w:autoSpaceDE w:val="0"/>
              <w:autoSpaceDN w:val="0"/>
              <w:adjustRightInd w:val="0"/>
              <w:jc w:val="center"/>
              <w:rPr>
                <w:rFonts w:ascii="Times New Roman" w:hAnsi="Times New Roman" w:cs="Times New Roman"/>
                <w:b/>
                <w:bCs/>
                <w:sz w:val="20"/>
                <w:szCs w:val="20"/>
              </w:rPr>
            </w:pPr>
            <w:r w:rsidRPr="006C6359">
              <w:rPr>
                <w:rFonts w:ascii="Times New Roman" w:hAnsi="Times New Roman" w:cs="Times New Roman"/>
                <w:b/>
                <w:bCs/>
                <w:sz w:val="20"/>
                <w:szCs w:val="20"/>
              </w:rPr>
              <w:t>Regolamento CE 1081/2006 del Consiglio</w:t>
            </w:r>
          </w:p>
        </w:tc>
      </w:tr>
      <w:tr w:rsidR="00E05910" w:rsidRPr="003A1B35" w:rsidTr="00F23C2A">
        <w:tc>
          <w:tcPr>
            <w:tcW w:w="7628" w:type="dxa"/>
          </w:tcPr>
          <w:p w:rsidR="00E05910" w:rsidRPr="0098403B" w:rsidRDefault="00E05910" w:rsidP="00E05910">
            <w:pPr>
              <w:jc w:val="center"/>
              <w:rPr>
                <w:rFonts w:ascii="Times New Roman" w:hAnsi="Times New Roman" w:cs="Times New Roman"/>
                <w:b/>
                <w:sz w:val="20"/>
                <w:szCs w:val="20"/>
              </w:rPr>
            </w:pPr>
            <w:r w:rsidRPr="0098403B">
              <w:rPr>
                <w:rFonts w:ascii="Times New Roman" w:hAnsi="Times New Roman" w:cs="Times New Roman"/>
                <w:b/>
                <w:sz w:val="20"/>
                <w:szCs w:val="20"/>
              </w:rPr>
              <w:t>TITOLO V</w:t>
            </w:r>
          </w:p>
          <w:p w:rsidR="00E05910" w:rsidRPr="0098403B" w:rsidRDefault="00E05910" w:rsidP="00E05910">
            <w:pPr>
              <w:jc w:val="center"/>
              <w:rPr>
                <w:rFonts w:ascii="Times New Roman" w:hAnsi="Times New Roman" w:cs="Times New Roman"/>
                <w:b/>
                <w:sz w:val="20"/>
                <w:szCs w:val="20"/>
              </w:rPr>
            </w:pPr>
            <w:r w:rsidRPr="0098403B">
              <w:rPr>
                <w:rFonts w:ascii="Times New Roman" w:hAnsi="Times New Roman" w:cs="Times New Roman"/>
                <w:b/>
                <w:sz w:val="20"/>
                <w:szCs w:val="20"/>
              </w:rPr>
              <w:t>SORVEGLIANZA E VALUTAZIONE</w:t>
            </w:r>
          </w:p>
          <w:p w:rsidR="00E05910" w:rsidRPr="0098403B" w:rsidRDefault="00E05910" w:rsidP="00E05910">
            <w:pPr>
              <w:jc w:val="center"/>
              <w:rPr>
                <w:rFonts w:ascii="Times New Roman" w:hAnsi="Times New Roman" w:cs="Times New Roman"/>
                <w:b/>
                <w:sz w:val="20"/>
                <w:szCs w:val="20"/>
              </w:rPr>
            </w:pPr>
            <w:r w:rsidRPr="0098403B">
              <w:rPr>
                <w:rFonts w:ascii="Times New Roman" w:hAnsi="Times New Roman" w:cs="Times New Roman"/>
                <w:b/>
                <w:sz w:val="20"/>
                <w:szCs w:val="20"/>
              </w:rPr>
              <w:t>CAPO I</w:t>
            </w:r>
          </w:p>
          <w:p w:rsidR="00E05910" w:rsidRPr="0098403B" w:rsidRDefault="00E05910" w:rsidP="00E05910">
            <w:pPr>
              <w:jc w:val="center"/>
              <w:rPr>
                <w:rFonts w:ascii="Times New Roman" w:hAnsi="Times New Roman" w:cs="Times New Roman"/>
                <w:b/>
                <w:sz w:val="20"/>
                <w:szCs w:val="20"/>
              </w:rPr>
            </w:pPr>
            <w:r w:rsidRPr="0098403B">
              <w:rPr>
                <w:rFonts w:ascii="Times New Roman" w:hAnsi="Times New Roman" w:cs="Times New Roman"/>
                <w:b/>
                <w:sz w:val="20"/>
                <w:szCs w:val="20"/>
              </w:rPr>
              <w:t>Sorveglianza</w:t>
            </w:r>
          </w:p>
          <w:p w:rsidR="00E05910" w:rsidRPr="0098403B" w:rsidRDefault="00E05910" w:rsidP="00E05910">
            <w:pPr>
              <w:jc w:val="center"/>
              <w:rPr>
                <w:rFonts w:ascii="Times New Roman" w:hAnsi="Times New Roman" w:cs="Times New Roman"/>
                <w:b/>
                <w:sz w:val="20"/>
                <w:szCs w:val="20"/>
              </w:rPr>
            </w:pPr>
            <w:r w:rsidRPr="0098403B">
              <w:rPr>
                <w:rFonts w:ascii="Times New Roman" w:hAnsi="Times New Roman" w:cs="Times New Roman"/>
                <w:b/>
                <w:sz w:val="20"/>
                <w:szCs w:val="20"/>
              </w:rPr>
              <w:t>Sezione I</w:t>
            </w:r>
          </w:p>
          <w:p w:rsidR="00E05910" w:rsidRPr="0098403B" w:rsidRDefault="00E05910" w:rsidP="00E05910">
            <w:pPr>
              <w:jc w:val="center"/>
              <w:rPr>
                <w:rFonts w:ascii="Times New Roman" w:hAnsi="Times New Roman" w:cs="Times New Roman"/>
                <w:b/>
                <w:sz w:val="20"/>
                <w:szCs w:val="20"/>
              </w:rPr>
            </w:pPr>
            <w:r w:rsidRPr="0098403B">
              <w:rPr>
                <w:rFonts w:ascii="Times New Roman" w:hAnsi="Times New Roman" w:cs="Times New Roman"/>
                <w:b/>
                <w:sz w:val="20"/>
                <w:szCs w:val="20"/>
              </w:rPr>
              <w:t>Sorveglianza dei programmi</w:t>
            </w:r>
          </w:p>
        </w:tc>
        <w:tc>
          <w:tcPr>
            <w:tcW w:w="7629" w:type="dxa"/>
            <w:vAlign w:val="center"/>
          </w:tcPr>
          <w:p w:rsidR="00E05910" w:rsidRPr="0098403B" w:rsidRDefault="00E05910" w:rsidP="00E05910">
            <w:pPr>
              <w:jc w:val="center"/>
              <w:rPr>
                <w:rFonts w:ascii="Times New Roman" w:hAnsi="Times New Roman" w:cs="Times New Roman"/>
                <w:b/>
                <w:sz w:val="20"/>
                <w:szCs w:val="20"/>
              </w:rPr>
            </w:pPr>
            <w:r w:rsidRPr="0098403B">
              <w:rPr>
                <w:rFonts w:ascii="Times New Roman" w:hAnsi="Times New Roman" w:cs="Times New Roman"/>
                <w:b/>
                <w:sz w:val="20"/>
                <w:szCs w:val="20"/>
              </w:rPr>
              <w:t>CAPO II</w:t>
            </w:r>
          </w:p>
          <w:p w:rsidR="00E05910" w:rsidRPr="0098403B" w:rsidRDefault="00E05910" w:rsidP="00E05910">
            <w:pPr>
              <w:jc w:val="center"/>
              <w:rPr>
                <w:rFonts w:ascii="Times New Roman" w:hAnsi="Times New Roman" w:cs="Times New Roman"/>
                <w:b/>
                <w:sz w:val="20"/>
                <w:szCs w:val="20"/>
              </w:rPr>
            </w:pPr>
            <w:r w:rsidRPr="0098403B">
              <w:rPr>
                <w:rFonts w:ascii="Times New Roman" w:hAnsi="Times New Roman" w:cs="Times New Roman"/>
                <w:b/>
                <w:sz w:val="20"/>
                <w:szCs w:val="20"/>
              </w:rPr>
              <w:t>Sorveglianza</w:t>
            </w:r>
          </w:p>
          <w:p w:rsidR="00E05910" w:rsidRPr="0098403B" w:rsidRDefault="00E05910" w:rsidP="00E05910">
            <w:pPr>
              <w:jc w:val="center"/>
              <w:rPr>
                <w:rFonts w:ascii="Times New Roman" w:hAnsi="Times New Roman" w:cs="Times New Roman"/>
                <w:b/>
                <w:sz w:val="20"/>
                <w:szCs w:val="20"/>
              </w:rPr>
            </w:pPr>
          </w:p>
        </w:tc>
      </w:tr>
      <w:tr w:rsidR="00E05910" w:rsidRPr="003A1B35" w:rsidTr="00F23C2A">
        <w:tc>
          <w:tcPr>
            <w:tcW w:w="7628" w:type="dxa"/>
          </w:tcPr>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47</w:t>
            </w:r>
          </w:p>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Comitato di sorveglianza</w:t>
            </w:r>
          </w:p>
        </w:tc>
        <w:tc>
          <w:tcPr>
            <w:tcW w:w="7629" w:type="dxa"/>
          </w:tcPr>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63</w:t>
            </w:r>
          </w:p>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Comitato di sorveglianza</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1. Entro </w:t>
            </w:r>
            <w:r w:rsidRPr="003A1B35">
              <w:rPr>
                <w:rFonts w:ascii="Times New Roman" w:hAnsi="Times New Roman" w:cs="Times New Roman"/>
                <w:b/>
                <w:sz w:val="20"/>
                <w:szCs w:val="20"/>
              </w:rPr>
              <w:t>tre mesi</w:t>
            </w:r>
            <w:r w:rsidRPr="003A1B35">
              <w:rPr>
                <w:rFonts w:ascii="Times New Roman" w:hAnsi="Times New Roman" w:cs="Times New Roman"/>
                <w:sz w:val="20"/>
                <w:szCs w:val="20"/>
              </w:rPr>
              <w:t xml:space="preserve"> dalla data di notifica allo Stato membro della decisione della Commissione di adozione di un programma, lo Stato membro istituisce un comitato, conformemente al suo quadro istituzionale, giuridico e finanziario, d'intesa con l'autorità di gestione, per sorvegliare sull'attuazione del programma (il "comitato di sorveglianza").</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1. Per ciascun programma operativo, lo Stato membro istituisce un comitato di sorveglianza, d'intesa con l'autorità di gestione, entro </w:t>
            </w:r>
            <w:r w:rsidRPr="003A1B35">
              <w:rPr>
                <w:rFonts w:ascii="Times New Roman" w:hAnsi="Times New Roman" w:cs="Times New Roman"/>
                <w:b/>
                <w:sz w:val="20"/>
                <w:szCs w:val="20"/>
              </w:rPr>
              <w:t>tre mesi</w:t>
            </w:r>
            <w:r w:rsidRPr="003A1B35">
              <w:rPr>
                <w:rFonts w:ascii="Times New Roman" w:hAnsi="Times New Roman" w:cs="Times New Roman"/>
                <w:sz w:val="20"/>
                <w:szCs w:val="20"/>
              </w:rPr>
              <w:t xml:space="preserve"> dalla data di notifica allo Stato membro della decisione di approvazione del programma operativo. </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Uno Stato membro può istituire un unico comitato di sorveglianza per coprire più di un programma cofinanziato dai fondi SIE.</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Un unico comitato di sorveglianza può essere istituito per vari programmi operativi.</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Ciascun comitato di sorveglianza stabilisce e adotta il proprio regolamento interno conformemente al quadro istituzionale, giuridico e finanziario dello Stato membro interessato.</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Ciascun comitato di sorveglianza stabilisce il proprio regolamento interno nell'ambito del quadro istituzionale, giuridico e finanziario dello Stato membro interessato e lo adotta d'intesa con l'autorità di gestione, al fine di esercitare i suoi compiti conformemente al presente regolamento.</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Il comitato di sorveglianza di un programma nell'ambito dell'obiettivo di cooperazione territoriale europea è istituito dagli Stati membri partecipanti al programma di cooperazione e da paesi terzi che abbiano accettato l'invito a partecipare al programma di cooperazione, d'intesa con l'autorità di gestione, entro tre mesi dalla data di notifica agli Stati membri della decisione che adotta il programma di cooperazione. Detto comitato di sorveglianza elabora e adotta il proprio regolamento interno.</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p>
        </w:tc>
      </w:tr>
      <w:tr w:rsidR="00E05910" w:rsidRPr="003A1B35" w:rsidTr="00F23C2A">
        <w:tc>
          <w:tcPr>
            <w:tcW w:w="7628" w:type="dxa"/>
          </w:tcPr>
          <w:p w:rsidR="00E05910" w:rsidRPr="003A1B35" w:rsidRDefault="00E05910" w:rsidP="00E05910">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lastRenderedPageBreak/>
              <w:t>Articolo 48</w:t>
            </w:r>
          </w:p>
          <w:p w:rsidR="00E05910" w:rsidRPr="003A1B35" w:rsidRDefault="00E05910" w:rsidP="00E05910">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Composizione del comitato di sorveglianza</w:t>
            </w:r>
          </w:p>
        </w:tc>
        <w:tc>
          <w:tcPr>
            <w:tcW w:w="7629" w:type="dxa"/>
          </w:tcPr>
          <w:p w:rsidR="00E05910" w:rsidRPr="003A1B35" w:rsidRDefault="00E05910" w:rsidP="00E05910">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64</w:t>
            </w:r>
          </w:p>
          <w:p w:rsidR="00E05910" w:rsidRPr="003A1B35" w:rsidRDefault="00E05910" w:rsidP="00E05910">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Composizione</w:t>
            </w:r>
          </w:p>
        </w:tc>
      </w:tr>
      <w:tr w:rsidR="00E05910" w:rsidRPr="003A1B35" w:rsidTr="00F23C2A">
        <w:tc>
          <w:tcPr>
            <w:tcW w:w="7628" w:type="dxa"/>
          </w:tcPr>
          <w:p w:rsidR="00E05910" w:rsidRPr="003A1B35" w:rsidRDefault="00E05910" w:rsidP="00E05910">
            <w:pPr>
              <w:keepNext/>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La composizione del comitato di sorveglianza è decisa dallo Stato membro, purché sia composto da rappresentanti delle autorità competenti degli Stati membri, nonché dagli organismi intermedi e da rappresentanti dei partner di cui all'articolo 5. I rappresentanti dei partner ricevono delega per far parte del comitato di sorveglianza dai rispettivi partner attraverso procedure trasparenti. Ciascun membro del comitato di sorveglianza può avere diritto di voto.</w:t>
            </w:r>
          </w:p>
        </w:tc>
        <w:tc>
          <w:tcPr>
            <w:tcW w:w="7629" w:type="dxa"/>
          </w:tcPr>
          <w:p w:rsidR="00E05910" w:rsidRPr="003A1B35" w:rsidRDefault="00E05910" w:rsidP="00E05910">
            <w:pPr>
              <w:keepNext/>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 La sua composizione è decisa dallo Stato membro d'intesa con l'autorità di gestione.</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La composizione del comitato di sorveglianza di un programma nell'ambito dell'obiettivo Cooperazione territoriale europea è concordata dagli Stati membri partecipanti al programma e da paesi terzi che abbiano accettato l'invito a partecipare al programma di cooperazione. Il comitato di sorveglianza comprende rappresentanti pertinenti di detti Stati membri e di paesi terzi. Il comitato di sorveglianza può includere rappresentanti del GECT che svolgono attività legate al programma nell'area interessata dal programma.</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L'elenco dei membri del comitato di sorveglianza è reso pubblico.</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La Commissione partecipa ai lavori del comitato di sorveglianza a titolo consultivo.</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2. Di propria iniziativa o a richiesta del comitato di sorveglianza, un rappresentante della Commissione partecipa ai lavori del comitato stesso a titolo consultivo. </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Ove fornisca un contributo a un programma, la BEI può partecipare ai lavori del comitato di sorveglianza a titolo consultivo.</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Un rappresentante della BEI e del FEI possono partecipare a titolo consultivo per i programmi operativi a cui la BEI o il FEI forniscono un contributo.</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5. Il comitato di sorveglianza è presieduto da un rappresentante dello Stato membro o dell'autorità di gestione.</w:t>
            </w:r>
          </w:p>
        </w:tc>
        <w:tc>
          <w:tcPr>
            <w:tcW w:w="7629" w:type="dxa"/>
          </w:tcPr>
          <w:p w:rsidR="00E05910" w:rsidRPr="003A1B35" w:rsidRDefault="00E05910" w:rsidP="00E05910">
            <w:pPr>
              <w:keepNext/>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1. Il comitato di sorveglianza è presieduto da un rappresentante dello Stato membro o dell'autorità di gestione. </w:t>
            </w:r>
          </w:p>
          <w:p w:rsidR="00E05910" w:rsidRPr="003A1B35" w:rsidRDefault="00E05910" w:rsidP="00E05910">
            <w:pPr>
              <w:spacing w:before="120" w:after="120"/>
              <w:jc w:val="both"/>
              <w:rPr>
                <w:rFonts w:ascii="Times New Roman" w:hAnsi="Times New Roman" w:cs="Times New Roman"/>
                <w:sz w:val="20"/>
                <w:szCs w:val="20"/>
              </w:rPr>
            </w:pPr>
          </w:p>
        </w:tc>
      </w:tr>
    </w:tbl>
    <w:p w:rsidR="0098403B" w:rsidRDefault="0098403B"/>
    <w:p w:rsidR="0098403B" w:rsidRDefault="0098403B"/>
    <w:p w:rsidR="0098403B" w:rsidRDefault="0098403B"/>
    <w:p w:rsidR="0098403B" w:rsidRDefault="0098403B"/>
    <w:p w:rsidR="0098403B" w:rsidRDefault="0098403B"/>
    <w:p w:rsidR="0098403B" w:rsidRDefault="0098403B"/>
    <w:tbl>
      <w:tblPr>
        <w:tblStyle w:val="Grigliatabella"/>
        <w:tblW w:w="0" w:type="auto"/>
        <w:tblLook w:val="04A0" w:firstRow="1" w:lastRow="0" w:firstColumn="1" w:lastColumn="0" w:noHBand="0" w:noVBand="1"/>
      </w:tblPr>
      <w:tblGrid>
        <w:gridCol w:w="7628"/>
        <w:gridCol w:w="7629"/>
      </w:tblGrid>
      <w:tr w:rsidR="00E05910" w:rsidRPr="003A1B35" w:rsidTr="00F23C2A">
        <w:tc>
          <w:tcPr>
            <w:tcW w:w="7628" w:type="dxa"/>
          </w:tcPr>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lastRenderedPageBreak/>
              <w:t>Articolo 49</w:t>
            </w:r>
          </w:p>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Funzioni del comitato di sorveglianza</w:t>
            </w:r>
          </w:p>
        </w:tc>
        <w:tc>
          <w:tcPr>
            <w:tcW w:w="7629" w:type="dxa"/>
          </w:tcPr>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66</w:t>
            </w:r>
          </w:p>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Modalità di sorveglianza</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Il comitato di sorveglianza si riunisce almeno una volta all'anno per valutare l'attuazione del programma e i progressi compiuti nel conseguimento dei suoi obiettivi. A tale proposito, tiene conto dei dati finanziari e degli indicatori comuni e specifici del programma, ivi compresi i cambiamenti nel valore degli indicatori di risultato e i progressi verso target quantificati, nonché dei target intermedi definiti nel quadro di riferimento dell'efficacia dell'attuazione di cui all'articolo 21, paragrafo 1, e, se del caso, dei risultati delle analisi qualitative.</w:t>
            </w:r>
          </w:p>
        </w:tc>
        <w:tc>
          <w:tcPr>
            <w:tcW w:w="7629" w:type="dxa"/>
          </w:tcPr>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1. L'autorità di gestione e il comitato di sorveglianza garantiscono la qualità dell'attuazione del programma operativo.</w:t>
            </w: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2. L'autorità di gestione e il comitato di sorveglianza effettuano la sorveglianza basandosi sugli indicatori finanziari e sugli indicatori di cui all'articolo 37, paragrafo 1, lettera c), definiti nel programma operativo.</w:t>
            </w:r>
          </w:p>
          <w:p w:rsidR="00E05910" w:rsidRPr="003A1B35" w:rsidRDefault="00E05910" w:rsidP="00E05910">
            <w:pPr>
              <w:spacing w:before="120" w:after="120"/>
              <w:jc w:val="both"/>
              <w:rPr>
                <w:rFonts w:ascii="Times New Roman" w:hAnsi="Times New Roman" w:cs="Times New Roman"/>
                <w:sz w:val="20"/>
                <w:szCs w:val="20"/>
              </w:rPr>
            </w:pPr>
          </w:p>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Se la natura dell'intervento lo consente, le statistiche sono ripartite per sesso e per classe di dimensione delle imprese beneficiarie.</w:t>
            </w: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3. Lo scambio di dati tra la Commissione e gli Stati membri a tale scopo è effettuato per via elettronica conformemente alle modalità di applicazione del presente regolamento adottate dalla Commissione secondo la procedura di cui all'articolo 103, paragrafo 3</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Il comitato di sorveglianza esamina tutti gli aspetti che incidono sui risultati del programma, comprese le conclusioni delle verifiche di efficacia dell’attuazione.</w:t>
            </w:r>
          </w:p>
        </w:tc>
        <w:tc>
          <w:tcPr>
            <w:tcW w:w="7629" w:type="dxa"/>
          </w:tcPr>
          <w:p w:rsidR="00E05910" w:rsidRPr="003A1B35" w:rsidRDefault="00E05910" w:rsidP="00E05910">
            <w:pPr>
              <w:spacing w:before="120" w:after="120"/>
              <w:jc w:val="both"/>
              <w:rPr>
                <w:rFonts w:ascii="Times New Roman" w:hAnsi="Times New Roman" w:cs="Times New Roman"/>
                <w:sz w:val="20"/>
                <w:szCs w:val="20"/>
              </w:rPr>
            </w:pP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p>
        </w:tc>
        <w:tc>
          <w:tcPr>
            <w:tcW w:w="7629" w:type="dxa"/>
          </w:tcPr>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65</w:t>
            </w:r>
          </w:p>
          <w:p w:rsidR="00E05910" w:rsidRPr="003A1B35" w:rsidRDefault="00E05910" w:rsidP="00E05910">
            <w:pPr>
              <w:autoSpaceDE w:val="0"/>
              <w:autoSpaceDN w:val="0"/>
              <w:adjustRightInd w:val="0"/>
              <w:rPr>
                <w:rFonts w:ascii="Times New Roman" w:hAnsi="Times New Roman" w:cs="Times New Roman"/>
                <w:sz w:val="20"/>
                <w:szCs w:val="20"/>
              </w:rPr>
            </w:pPr>
            <w:r w:rsidRPr="003A1B35">
              <w:rPr>
                <w:rFonts w:ascii="Times New Roman" w:hAnsi="Times New Roman" w:cs="Times New Roman"/>
                <w:b/>
                <w:i/>
                <w:sz w:val="20"/>
                <w:szCs w:val="20"/>
              </w:rPr>
              <w:t>Compiti</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Il comitato di sorveglianza è consultato e, qualora lo ritenga opportuno, esprime un parere sulle eventuali modifiche del programma proposte dall'autorità di gestione.</w:t>
            </w:r>
          </w:p>
        </w:tc>
        <w:tc>
          <w:tcPr>
            <w:tcW w:w="7629" w:type="dxa"/>
          </w:tcPr>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Il comitato di sorveglianza accerta l'efficacia e la qualità dell'attuazione del programma operativo. A tal fine:</w:t>
            </w: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f) può proporre all'autorità di gestione qualsiasi revisione o esame del programma operativo di natura tale da permettere il conseguimento degli obiettivi dei Fondi di cui all'articolo 3 o da migliorarne la gestione, compresa quella finanziaria;</w:t>
            </w: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g) esamina ed approva qualsiasi proposta di modifica inerente al contenuto della decisione della Commissione relativa alla partecipazione dei Fondi.</w:t>
            </w:r>
          </w:p>
        </w:tc>
      </w:tr>
      <w:tr w:rsidR="00E05910" w:rsidRPr="003A1B35" w:rsidTr="00F23C2A">
        <w:tc>
          <w:tcPr>
            <w:tcW w:w="7628" w:type="dxa"/>
          </w:tcPr>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Il comitato di sorveglianza può formulare osservazioni all'autorità di gestione in merito all'attuazione e alla valutazione del programma, comprese azioni relative alla riduzione degli oneri amministrativi a carico dei beneficiari. Il comitato di sorveglianza controlla le azioni intraprese a seguito delle stesse.</w:t>
            </w:r>
          </w:p>
        </w:tc>
        <w:tc>
          <w:tcPr>
            <w:tcW w:w="7629" w:type="dxa"/>
          </w:tcPr>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c) esamina i risultati dell'esecuzione, in particolare il conseguimento degli obiettivi fissati per ciascun asse prioritario, nonché le valutazioni di cui all'articolo 48, paragrafo 3;</w:t>
            </w:r>
          </w:p>
        </w:tc>
      </w:tr>
    </w:tbl>
    <w:p w:rsidR="0098403B" w:rsidRDefault="0098403B"/>
    <w:p w:rsidR="0098403B" w:rsidRDefault="0098403B"/>
    <w:p w:rsidR="0098403B" w:rsidRDefault="0098403B"/>
    <w:p w:rsidR="0098403B" w:rsidRDefault="0098403B"/>
    <w:tbl>
      <w:tblPr>
        <w:tblStyle w:val="Grigliatabella"/>
        <w:tblW w:w="0" w:type="auto"/>
        <w:tblLook w:val="04A0" w:firstRow="1" w:lastRow="0" w:firstColumn="1" w:lastColumn="0" w:noHBand="0" w:noVBand="1"/>
      </w:tblPr>
      <w:tblGrid>
        <w:gridCol w:w="7628"/>
        <w:gridCol w:w="7629"/>
      </w:tblGrid>
      <w:tr w:rsidR="00E05910" w:rsidRPr="003A1B35" w:rsidTr="0072438D">
        <w:trPr>
          <w:trHeight w:val="706"/>
        </w:trPr>
        <w:tc>
          <w:tcPr>
            <w:tcW w:w="7628" w:type="dxa"/>
          </w:tcPr>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lastRenderedPageBreak/>
              <w:t>Articolo 110</w:t>
            </w:r>
          </w:p>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 xml:space="preserve">Funzioni del Comitato di Sorveglianza </w:t>
            </w:r>
          </w:p>
        </w:tc>
        <w:tc>
          <w:tcPr>
            <w:tcW w:w="7629" w:type="dxa"/>
          </w:tcPr>
          <w:p w:rsidR="00E05910" w:rsidRPr="003A1B35" w:rsidRDefault="00E05910" w:rsidP="00E059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65</w:t>
            </w:r>
          </w:p>
          <w:p w:rsidR="00E05910" w:rsidRPr="003A1B35" w:rsidRDefault="00E05910" w:rsidP="00E05910">
            <w:pPr>
              <w:spacing w:before="120" w:after="120"/>
              <w:rPr>
                <w:rFonts w:ascii="Times New Roman" w:hAnsi="Times New Roman" w:cs="Times New Roman"/>
                <w:sz w:val="20"/>
                <w:szCs w:val="20"/>
              </w:rPr>
            </w:pPr>
            <w:r w:rsidRPr="003A1B35">
              <w:rPr>
                <w:rFonts w:ascii="Times New Roman" w:hAnsi="Times New Roman" w:cs="Times New Roman"/>
                <w:b/>
                <w:i/>
                <w:sz w:val="20"/>
                <w:szCs w:val="20"/>
              </w:rPr>
              <w:t>Compiti</w:t>
            </w:r>
          </w:p>
        </w:tc>
      </w:tr>
      <w:tr w:rsidR="00E05910" w:rsidRPr="003A1B35" w:rsidTr="00D63DBF">
        <w:trPr>
          <w:trHeight w:val="3865"/>
        </w:trPr>
        <w:tc>
          <w:tcPr>
            <w:tcW w:w="7628" w:type="dxa"/>
          </w:tcPr>
          <w:p w:rsidR="00E05910" w:rsidRPr="003A1B35" w:rsidRDefault="00E05910" w:rsidP="00E05910">
            <w:pPr>
              <w:pStyle w:val="CM4"/>
              <w:spacing w:before="60" w:after="60"/>
              <w:rPr>
                <w:rFonts w:ascii="Times New Roman" w:hAnsi="Times New Roman" w:cs="Times New Roman"/>
                <w:sz w:val="20"/>
                <w:szCs w:val="20"/>
              </w:rPr>
            </w:pPr>
            <w:r w:rsidRPr="003A1B35">
              <w:rPr>
                <w:rFonts w:ascii="Times New Roman" w:hAnsi="Times New Roman" w:cs="Times New Roman"/>
                <w:sz w:val="20"/>
                <w:szCs w:val="20"/>
              </w:rPr>
              <w:t xml:space="preserve">1. Il comitato di sorveglianza </w:t>
            </w:r>
            <w:r w:rsidRPr="00F94E32">
              <w:rPr>
                <w:rFonts w:ascii="Times New Roman" w:hAnsi="Times New Roman" w:cs="Times New Roman"/>
                <w:b/>
                <w:sz w:val="20"/>
                <w:szCs w:val="20"/>
              </w:rPr>
              <w:t>esamina</w:t>
            </w:r>
            <w:r w:rsidRPr="003A1B35">
              <w:rPr>
                <w:rFonts w:ascii="Times New Roman" w:hAnsi="Times New Roman" w:cs="Times New Roman"/>
                <w:sz w:val="20"/>
                <w:szCs w:val="20"/>
              </w:rPr>
              <w:t xml:space="preserve"> in particolare: </w:t>
            </w:r>
          </w:p>
          <w:p w:rsidR="00E05910" w:rsidRPr="003A1B35" w:rsidRDefault="00E05910" w:rsidP="00E05910">
            <w:pPr>
              <w:pStyle w:val="CM4"/>
              <w:spacing w:before="60" w:after="60"/>
              <w:rPr>
                <w:rFonts w:ascii="Times New Roman" w:hAnsi="Times New Roman" w:cs="Times New Roman"/>
                <w:sz w:val="20"/>
                <w:szCs w:val="20"/>
              </w:rPr>
            </w:pPr>
            <w:r w:rsidRPr="003A1B35">
              <w:rPr>
                <w:rFonts w:ascii="Times New Roman" w:hAnsi="Times New Roman" w:cs="Times New Roman"/>
                <w:sz w:val="20"/>
                <w:szCs w:val="20"/>
              </w:rPr>
              <w:t xml:space="preserve">a) ogni aspetto che incide sui risultati del programma operativo; </w:t>
            </w:r>
          </w:p>
          <w:p w:rsidR="00E05910" w:rsidRPr="003A1B35" w:rsidRDefault="00E05910" w:rsidP="00E05910">
            <w:pPr>
              <w:pStyle w:val="CM4"/>
              <w:spacing w:before="60" w:after="60"/>
              <w:rPr>
                <w:rFonts w:ascii="Times New Roman" w:hAnsi="Times New Roman" w:cs="Times New Roman"/>
                <w:sz w:val="20"/>
                <w:szCs w:val="20"/>
              </w:rPr>
            </w:pPr>
            <w:r w:rsidRPr="003A1B35">
              <w:rPr>
                <w:rFonts w:ascii="Times New Roman" w:hAnsi="Times New Roman" w:cs="Times New Roman"/>
                <w:sz w:val="20"/>
                <w:szCs w:val="20"/>
              </w:rPr>
              <w:t xml:space="preserve">b) i progressi realizzati nell'attuazione del piano di valutazione e il seguito dato ai risultati delle valutazioni; </w:t>
            </w:r>
          </w:p>
          <w:p w:rsidR="00E05910" w:rsidRPr="003A1B35" w:rsidRDefault="00E05910" w:rsidP="00E05910">
            <w:pPr>
              <w:pStyle w:val="CM4"/>
              <w:spacing w:before="60" w:after="60"/>
              <w:rPr>
                <w:rFonts w:ascii="Times New Roman" w:hAnsi="Times New Roman" w:cs="Times New Roman"/>
                <w:sz w:val="20"/>
                <w:szCs w:val="20"/>
              </w:rPr>
            </w:pPr>
            <w:r w:rsidRPr="003A1B35">
              <w:rPr>
                <w:rFonts w:ascii="Times New Roman" w:hAnsi="Times New Roman" w:cs="Times New Roman"/>
                <w:sz w:val="20"/>
                <w:szCs w:val="20"/>
              </w:rPr>
              <w:t xml:space="preserve">c) l'attuazione della strategia di comunicazione; </w:t>
            </w:r>
          </w:p>
          <w:p w:rsidR="00E05910" w:rsidRPr="003A1B35" w:rsidRDefault="00E05910" w:rsidP="00E05910">
            <w:pPr>
              <w:pStyle w:val="CM4"/>
              <w:spacing w:before="60" w:after="60"/>
              <w:rPr>
                <w:rFonts w:ascii="Times New Roman" w:hAnsi="Times New Roman" w:cs="Times New Roman"/>
                <w:sz w:val="20"/>
                <w:szCs w:val="20"/>
              </w:rPr>
            </w:pPr>
            <w:r w:rsidRPr="003A1B35">
              <w:rPr>
                <w:rFonts w:ascii="Times New Roman" w:hAnsi="Times New Roman" w:cs="Times New Roman"/>
                <w:sz w:val="20"/>
                <w:szCs w:val="20"/>
              </w:rPr>
              <w:t xml:space="preserve">d) l'esecuzione dei grandi progetti; </w:t>
            </w:r>
          </w:p>
          <w:p w:rsidR="00E05910" w:rsidRPr="003A1B35" w:rsidRDefault="00E05910" w:rsidP="00E05910">
            <w:pPr>
              <w:pStyle w:val="CM4"/>
              <w:spacing w:before="60" w:after="60"/>
              <w:rPr>
                <w:rFonts w:ascii="Times New Roman" w:hAnsi="Times New Roman" w:cs="Times New Roman"/>
                <w:sz w:val="20"/>
                <w:szCs w:val="20"/>
              </w:rPr>
            </w:pPr>
            <w:r w:rsidRPr="003A1B35">
              <w:rPr>
                <w:rFonts w:ascii="Times New Roman" w:hAnsi="Times New Roman" w:cs="Times New Roman"/>
                <w:sz w:val="20"/>
                <w:szCs w:val="20"/>
              </w:rPr>
              <w:t xml:space="preserve">e) l'attuazione dei piani d'azione comuni; </w:t>
            </w:r>
          </w:p>
          <w:p w:rsidR="00E05910" w:rsidRPr="003A1B35" w:rsidRDefault="00E05910" w:rsidP="00E05910">
            <w:pPr>
              <w:pStyle w:val="CM4"/>
              <w:spacing w:before="60" w:after="60"/>
              <w:rPr>
                <w:rFonts w:ascii="Times New Roman" w:hAnsi="Times New Roman" w:cs="Times New Roman"/>
                <w:sz w:val="20"/>
                <w:szCs w:val="20"/>
              </w:rPr>
            </w:pPr>
            <w:r w:rsidRPr="003A1B35">
              <w:rPr>
                <w:rFonts w:ascii="Times New Roman" w:hAnsi="Times New Roman" w:cs="Times New Roman"/>
                <w:sz w:val="20"/>
                <w:szCs w:val="20"/>
              </w:rPr>
              <w:t xml:space="preserve">f) le azioni intese a promuovere la parità tra uomini e donne, le pari opportunità, la non discriminazione, compresa l'accessibilità per persone con disabilità; </w:t>
            </w:r>
          </w:p>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g) le azioni intese a promuovere lo sviluppo sostenibile;</w:t>
            </w:r>
          </w:p>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h) se del caso, le condizionalità ex ante non sono soddisfatte alla data di presentazione dell'accordo di partenariato e del programma operativo, lo stato di avanzamento delle azioni volte a soddisfare le condizionalità ex ante applicabili;</w:t>
            </w:r>
          </w:p>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 gli strumenti finanziari.</w:t>
            </w:r>
          </w:p>
        </w:tc>
        <w:tc>
          <w:tcPr>
            <w:tcW w:w="7629" w:type="dxa"/>
          </w:tcPr>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Il comitato di sorveglianza accerta l'efficacia e la qualità dell'attuazione del programma operativo. A tal fine:</w:t>
            </w:r>
          </w:p>
          <w:p w:rsidR="00E05910" w:rsidRPr="003A1B35" w:rsidRDefault="00E05910" w:rsidP="00E05910">
            <w:pPr>
              <w:autoSpaceDE w:val="0"/>
              <w:autoSpaceDN w:val="0"/>
              <w:adjustRightInd w:val="0"/>
              <w:jc w:val="both"/>
              <w:rPr>
                <w:rFonts w:ascii="Times New Roman" w:hAnsi="Times New Roman" w:cs="Times New Roman"/>
                <w:sz w:val="20"/>
                <w:szCs w:val="20"/>
              </w:rPr>
            </w:pPr>
          </w:p>
        </w:tc>
      </w:tr>
      <w:tr w:rsidR="00E05910" w:rsidRPr="003A1B35" w:rsidTr="00FE7E80">
        <w:trPr>
          <w:trHeight w:val="703"/>
        </w:trPr>
        <w:tc>
          <w:tcPr>
            <w:tcW w:w="7628" w:type="dxa"/>
          </w:tcPr>
          <w:p w:rsidR="00E05910" w:rsidRPr="003A1B35" w:rsidRDefault="00E05910" w:rsidP="00E05910">
            <w:pPr>
              <w:pStyle w:val="CM4"/>
              <w:spacing w:before="60" w:after="60"/>
              <w:jc w:val="both"/>
              <w:rPr>
                <w:rFonts w:ascii="Times New Roman" w:hAnsi="Times New Roman" w:cs="Times New Roman"/>
                <w:sz w:val="20"/>
                <w:szCs w:val="20"/>
              </w:rPr>
            </w:pPr>
            <w:r w:rsidRPr="003A1B35">
              <w:rPr>
                <w:rFonts w:ascii="Times New Roman" w:hAnsi="Times New Roman" w:cs="Times New Roman"/>
                <w:sz w:val="20"/>
                <w:szCs w:val="20"/>
              </w:rPr>
              <w:t xml:space="preserve">2. In deroga all'articolo 49, paragrafo 3, il comitato di sorveglianza </w:t>
            </w:r>
            <w:r w:rsidRPr="003A1B35">
              <w:rPr>
                <w:rFonts w:ascii="Times New Roman" w:hAnsi="Times New Roman" w:cs="Times New Roman"/>
                <w:b/>
                <w:sz w:val="20"/>
                <w:szCs w:val="20"/>
              </w:rPr>
              <w:t>esamina e approva</w:t>
            </w:r>
            <w:r w:rsidRPr="003A1B35">
              <w:rPr>
                <w:rFonts w:ascii="Times New Roman" w:hAnsi="Times New Roman" w:cs="Times New Roman"/>
                <w:sz w:val="20"/>
                <w:szCs w:val="20"/>
              </w:rPr>
              <w:t xml:space="preserve">: </w:t>
            </w:r>
          </w:p>
          <w:p w:rsidR="00E05910" w:rsidRPr="003A1B35" w:rsidRDefault="00E05910" w:rsidP="00E05910">
            <w:pPr>
              <w:pStyle w:val="CM4"/>
              <w:spacing w:before="60" w:after="60"/>
              <w:jc w:val="both"/>
              <w:rPr>
                <w:rFonts w:ascii="Times New Roman" w:hAnsi="Times New Roman" w:cs="Times New Roman"/>
                <w:sz w:val="20"/>
                <w:szCs w:val="20"/>
              </w:rPr>
            </w:pPr>
            <w:r w:rsidRPr="003A1B35">
              <w:rPr>
                <w:rFonts w:ascii="Times New Roman" w:hAnsi="Times New Roman" w:cs="Times New Roman"/>
                <w:sz w:val="20"/>
                <w:szCs w:val="20"/>
              </w:rPr>
              <w:t xml:space="preserve">a) la metodologia e i criteri usati per la selezione delle operazioni; </w:t>
            </w:r>
          </w:p>
          <w:p w:rsidR="00E05910" w:rsidRPr="003A1B35" w:rsidRDefault="00E05910" w:rsidP="00E05910">
            <w:pPr>
              <w:pStyle w:val="CM4"/>
              <w:spacing w:before="60" w:after="60"/>
              <w:jc w:val="both"/>
              <w:rPr>
                <w:rFonts w:ascii="Times New Roman" w:hAnsi="Times New Roman" w:cs="Times New Roman"/>
                <w:sz w:val="20"/>
                <w:szCs w:val="20"/>
              </w:rPr>
            </w:pPr>
            <w:r w:rsidRPr="003A1B35">
              <w:rPr>
                <w:rFonts w:ascii="Times New Roman" w:hAnsi="Times New Roman" w:cs="Times New Roman"/>
                <w:sz w:val="20"/>
                <w:szCs w:val="20"/>
              </w:rPr>
              <w:t xml:space="preserve">b) le relazioni di attuazione annuali e finali; </w:t>
            </w:r>
          </w:p>
          <w:p w:rsidR="00E05910" w:rsidRPr="003A1B35" w:rsidRDefault="00E05910" w:rsidP="00E05910">
            <w:pPr>
              <w:pStyle w:val="CM4"/>
              <w:spacing w:before="60" w:after="60"/>
              <w:jc w:val="both"/>
              <w:rPr>
                <w:rFonts w:ascii="Times New Roman" w:hAnsi="Times New Roman" w:cs="Times New Roman"/>
                <w:sz w:val="20"/>
                <w:szCs w:val="20"/>
              </w:rPr>
            </w:pPr>
            <w:r w:rsidRPr="003A1B35">
              <w:rPr>
                <w:rFonts w:ascii="Times New Roman" w:hAnsi="Times New Roman" w:cs="Times New Roman"/>
                <w:sz w:val="20"/>
                <w:szCs w:val="20"/>
              </w:rPr>
              <w:t xml:space="preserve">c) il piano di valutazione del programma operativo ed eventuali modifiche dello stesso, anche quando uno dei due è parte del piano di valutazione comune a norma dell'articolo 114, paragrafo 1; </w:t>
            </w:r>
          </w:p>
          <w:p w:rsidR="00E05910" w:rsidRPr="003A1B35" w:rsidRDefault="00E05910" w:rsidP="00E05910">
            <w:pPr>
              <w:pStyle w:val="CM4"/>
              <w:spacing w:before="60" w:after="60"/>
              <w:jc w:val="both"/>
              <w:rPr>
                <w:rFonts w:ascii="Times New Roman" w:hAnsi="Times New Roman" w:cs="Times New Roman"/>
                <w:sz w:val="20"/>
                <w:szCs w:val="20"/>
              </w:rPr>
            </w:pPr>
            <w:r w:rsidRPr="003A1B35">
              <w:rPr>
                <w:rFonts w:ascii="Times New Roman" w:hAnsi="Times New Roman" w:cs="Times New Roman"/>
                <w:sz w:val="20"/>
                <w:szCs w:val="20"/>
              </w:rPr>
              <w:t xml:space="preserve">d) la strategia di comunicazione per il programma operativo ed eventuali modifiche della stessa; </w:t>
            </w:r>
          </w:p>
          <w:p w:rsidR="00E05910" w:rsidRPr="003A1B35" w:rsidRDefault="00E05910" w:rsidP="00E05910">
            <w:pPr>
              <w:spacing w:before="120" w:after="120"/>
              <w:jc w:val="both"/>
              <w:rPr>
                <w:rFonts w:ascii="Times New Roman" w:hAnsi="Times New Roman" w:cs="Times New Roman"/>
                <w:sz w:val="20"/>
                <w:szCs w:val="20"/>
              </w:rPr>
            </w:pPr>
          </w:p>
          <w:p w:rsidR="00E05910" w:rsidRPr="003A1B35" w:rsidRDefault="00E05910" w:rsidP="00E05910">
            <w:pPr>
              <w:spacing w:before="120" w:after="120"/>
              <w:jc w:val="both"/>
              <w:rPr>
                <w:rFonts w:ascii="Times New Roman" w:hAnsi="Times New Roman" w:cs="Times New Roman"/>
                <w:sz w:val="20"/>
                <w:szCs w:val="20"/>
              </w:rPr>
            </w:pPr>
          </w:p>
          <w:p w:rsidR="00E05910" w:rsidRPr="003A1B35" w:rsidRDefault="00E05910" w:rsidP="00E05910">
            <w:pPr>
              <w:spacing w:before="120" w:after="120"/>
              <w:jc w:val="both"/>
              <w:rPr>
                <w:rFonts w:ascii="Times New Roman" w:hAnsi="Times New Roman" w:cs="Times New Roman"/>
                <w:sz w:val="20"/>
                <w:szCs w:val="20"/>
              </w:rPr>
            </w:pPr>
          </w:p>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e) eventuali proposte di modifiche al programma operativo presentate dall'autorità di gestione.</w:t>
            </w:r>
          </w:p>
        </w:tc>
        <w:tc>
          <w:tcPr>
            <w:tcW w:w="7629" w:type="dxa"/>
          </w:tcPr>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a) esamina ed approva, entro sei mesi dall'approvazione del programma operativo, i criteri di selezione delle operazioni finanziate e approva ogni revisione di tali criteri secondo le necessità della programmazione;</w:t>
            </w: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b) valuta periodicamente i progressi compiuti nel conseguimento degli obiettivi specifici del programma operativo sulla base dei documenti presentati dall'autorità di gestione;</w:t>
            </w: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c) esamina i risultati dell'esecuzione, in particolare il conseguimento degli obiettivi fissati per ciascun asse prioritario, nonché le valutazioni di cui all'articolo 48, paragrafo 3;</w:t>
            </w: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d) esamina e approva i rapporti annuali e finali di esecuzione di cui all'articolo 67;</w:t>
            </w:r>
          </w:p>
          <w:p w:rsidR="00E05910" w:rsidRPr="003A1B35" w:rsidRDefault="00E05910" w:rsidP="00E05910">
            <w:pPr>
              <w:autoSpaceDE w:val="0"/>
              <w:autoSpaceDN w:val="0"/>
              <w:adjustRightInd w:val="0"/>
              <w:jc w:val="both"/>
              <w:rPr>
                <w:rFonts w:ascii="Times New Roman" w:hAnsi="Times New Roman" w:cs="Times New Roman"/>
                <w:sz w:val="20"/>
                <w:szCs w:val="20"/>
              </w:rPr>
            </w:pP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e) è informato in merito al rapporto annuale di controllo, o alla parte di esso relativa al programma operativo interessato, e alle eventuali osservazioni espresse al riguardo dalla Commissione in seguito all'esame del rapporto o relativamente alla suddetta parte del medesimo;</w:t>
            </w:r>
          </w:p>
          <w:p w:rsidR="00E05910" w:rsidRPr="003A1B35" w:rsidRDefault="00E05910" w:rsidP="00E05910">
            <w:pPr>
              <w:autoSpaceDE w:val="0"/>
              <w:autoSpaceDN w:val="0"/>
              <w:adjustRightInd w:val="0"/>
              <w:jc w:val="both"/>
              <w:rPr>
                <w:rFonts w:ascii="Times New Roman" w:hAnsi="Times New Roman" w:cs="Times New Roman"/>
                <w:sz w:val="20"/>
                <w:szCs w:val="20"/>
              </w:rPr>
            </w:pPr>
          </w:p>
          <w:p w:rsidR="00E05910" w:rsidRPr="003A1B35" w:rsidRDefault="00E05910" w:rsidP="00E05910">
            <w:pPr>
              <w:autoSpaceDE w:val="0"/>
              <w:autoSpaceDN w:val="0"/>
              <w:adjustRightInd w:val="0"/>
              <w:jc w:val="both"/>
              <w:rPr>
                <w:rFonts w:ascii="Times New Roman" w:hAnsi="Times New Roman" w:cs="Times New Roman"/>
                <w:sz w:val="20"/>
                <w:szCs w:val="20"/>
              </w:rPr>
            </w:pPr>
            <w:r w:rsidRPr="003A1B35">
              <w:rPr>
                <w:rFonts w:ascii="Times New Roman" w:hAnsi="Times New Roman" w:cs="Times New Roman"/>
                <w:sz w:val="20"/>
                <w:szCs w:val="20"/>
              </w:rPr>
              <w:t>f) può proporre all'autorità di gestione qualsiasi revisione o esame del programma operativo di natura tale da permettere il conseguimento degli obiettivi dei Fondi di cui all'articolo 3 o da migliorarne la gestione, compresa quella finanziaria;</w:t>
            </w:r>
          </w:p>
          <w:p w:rsidR="00E05910" w:rsidRPr="003A1B35" w:rsidRDefault="00E05910" w:rsidP="00E059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g) esamina ed approva qualsiasi proposta di modifica inerente al contenuto della decisione della Commissione relativa alla partecipazione dei Fondi.</w:t>
            </w:r>
          </w:p>
        </w:tc>
      </w:tr>
    </w:tbl>
    <w:p w:rsidR="0098403B" w:rsidRDefault="0098403B"/>
    <w:tbl>
      <w:tblPr>
        <w:tblStyle w:val="Grigliatabella"/>
        <w:tblW w:w="0" w:type="auto"/>
        <w:tblLook w:val="04A0" w:firstRow="1" w:lastRow="0" w:firstColumn="1" w:lastColumn="0" w:noHBand="0" w:noVBand="1"/>
      </w:tblPr>
      <w:tblGrid>
        <w:gridCol w:w="7628"/>
        <w:gridCol w:w="7629"/>
      </w:tblGrid>
      <w:tr w:rsidR="00351710" w:rsidRPr="003A1B35" w:rsidTr="00F23C2A">
        <w:tc>
          <w:tcPr>
            <w:tcW w:w="7628" w:type="dxa"/>
          </w:tcPr>
          <w:p w:rsidR="00351710" w:rsidRPr="003A1B35" w:rsidRDefault="00351710" w:rsidP="003517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lastRenderedPageBreak/>
              <w:t>Articolo 50</w:t>
            </w:r>
          </w:p>
          <w:p w:rsidR="00351710" w:rsidRPr="003A1B35" w:rsidRDefault="00351710" w:rsidP="003517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Relazioni di attuazione</w:t>
            </w:r>
          </w:p>
        </w:tc>
        <w:tc>
          <w:tcPr>
            <w:tcW w:w="7629" w:type="dxa"/>
          </w:tcPr>
          <w:p w:rsidR="00351710" w:rsidRPr="003A1B35" w:rsidRDefault="00351710" w:rsidP="003517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67</w:t>
            </w:r>
          </w:p>
          <w:p w:rsidR="00351710" w:rsidRPr="003A1B35" w:rsidRDefault="00351710" w:rsidP="003517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Rapporto annuale e rapporto finale di esecuzione</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A partire dal 2016 fino al 2023 compreso, ogni Stato membro trasmette alla Commissione una relazione di attuazione annuale del programma nel precedente esercizio finanziario. Ogni Stato membro presenta alla Commissione una relazione di attuazione finale del programma per il FESR, il FSE e il Fondo di coesione e una relazione di attuazione annuale per il FEASR e il FEAMP entro il termine stabilito dalle norme specifiche a ciascun fondo.</w:t>
            </w:r>
          </w:p>
        </w:tc>
        <w:tc>
          <w:tcPr>
            <w:tcW w:w="7629" w:type="dxa"/>
          </w:tcPr>
          <w:p w:rsidR="00351710" w:rsidRPr="003A1B35" w:rsidRDefault="00356DBB"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Per la prima volta nel 2008 ed entro il 30 giugno di ogni anno, l'autorità di gestione trasmette alla Commissione un rapporto annuale ed entro il 31 marzo 2017 un rapporto finale di esecuzione del programma operativo.</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Le relazioni di attuazione annuali contengono informazioni chiave sull'attuazione del programma e sulle sue priorità con riferimento ai dati finanziari, agli indicatori comuni e specifici per programma e ai valori obiettivo quantificati, compresi i cambiamenti nei valori degli indicatori di risultato se del caso, nonché, a partire dal relazione di attuazione annuale da presentare nel 2017, ai target intermedi definiti nel quadro di riferimento dell'efficacia dell'attuazione. I dati trasmessi si riferiscono ai valori di indicatori relativi a operazioni eseguite completamente e anche, ove possibile, tenuto conto della fase di attuazione, a operazioni selezionate. Indicano altresì una sintesi delle conclusioni di tutte le valutazioni del programma resesi disponibili durante il precedente anno finanziario, gli aspetti che incidono sui risultati del programma, nonché le misure adottate. La relazione di attuazione annuale da presentare nel 2016 può altresì definire, se pertinente, le azioni adottate allo scopo di ottemperare alle condizionalità ex ante.</w:t>
            </w:r>
          </w:p>
        </w:tc>
        <w:tc>
          <w:tcPr>
            <w:tcW w:w="7629" w:type="dxa"/>
          </w:tcPr>
          <w:p w:rsidR="00BB3BC7" w:rsidRPr="003A1B35" w:rsidRDefault="00BB3BC7"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Per fornire un quadro esauriente dell'esecuzione del programma operativo, i rapporti di cui al paragrafo 1 riportano le seguenti informazioni</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a) lo stato di avanzamento del programma operativo e degli assi prioritari rispetto ai loro obiettivi specifici verificabili, con una quantificazione, ogniqualvolta essa sia possibile, usando gli indicatori di cui all'articolo 37, paragrafo 1, lettera c), per asse prioritario;</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b) quantificazione degli indicatori finanziari di cui all’articolo 66, paragrafo 2, che esprimono l’esecuzione finanziaria cumulata del programma operativo, specificando per ciascun asse prioritario quanto segue:</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 l’importo totale delle spese ammissibili certificate sostenute dai beneficiari e il contributo pubblico corrispondente,</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ii) il rapporto tra l’importo totale delle spese ammissibili certificate sostenute dai beneficiari e il finanziamento totale del programma compreso il finanziamento dell’Unione e la controparte nazionale.</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Se del caso, l’esecuzione finanziaria nelle zone che beneficiano di sostegno transitorio è presentata separatamente nell’ambito di ciascun programma operativo;</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c) a scopo unicamente informativo, la ripartizione indicativa della dotazione finanziaria dei Fondi per categoria, conformemente alle modalità di applicazione adottate dalla Commissione secondo la procedura di cui all'articolo 103, paragrafo 3;</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d) le disposizioni adottate dall'autorità di gestione o dal comitato di sorveglianza per assicurare la qualità e l'efficacia dell'esecuzione, riguardanti segnatamente:</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 le azioni di sorveglianza e valutazione, comprese le modalità per la raccolta dei dati;</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ii) una sintesi dei problemi significativi eventualmente riscontrati durante l'esecuzione del programma operativo e le misure eventualmente adottate, compreso il seguito dato alle osservazioni formulate ai sensi dell'articolo 68, paragrafo 2, se del caso;</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iii) il ricorso all'assistenza tecnica;</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f) le informazioni su problemi significativi riguardanti il rispetto del diritto comunitario incontrati nell'attuazione del programma operativo e le misure adottate per risolverli;</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lastRenderedPageBreak/>
              <w:t>h) l'impiego da parte dell'autorità di gestione o di un'altra autorità pubblica nel periodo di esecuzione del programma operativo dei fondi comunitari svincolati in seguito alla soppressione di cui all'articolo 98, paragrafo 2;</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 i casi in cui sono state individuate modifiche sostanziali ai sensi dell'articolo 57.</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La quantità di informazioni trasmesse alla Commissione è proporzionale all'importo complessivo della spesa del programma operativo interessato. Tali informazioni possono essere fornite, se necessario, in forma sintetica.</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Le informazioni di cui alle lettere d), g), h) e i) non sono fornite, se non sussistono modifiche significative rispetto al rapporto precedente.</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lastRenderedPageBreak/>
              <w:t>3. In deroga al paragrafo 2, norme specifiche sui dati da trasmettere per il FES possono essere definite nel regolamento FES.</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La relazione di attuazione annuale da presentare nel 2017 riporta e valuta le informazioni di cui al paragrafo 2 unitamente ai progressi compiuti nel conseguimento degli obiettivi del programma, compreso il contributo dei fondi SIE a eventuali cambiamenti nel valore degli indicatori di risultato, laddove emergano dalle pertinenti valutazioni. Tale relazione di attuazione annuale definisce le azioni adottate allo scopo di ottemperare alle condizionalità ex ante non ottemperate al momento dell'adozione dei programmi. Valuta altresì l'attuazione di azioni per tenere conto dei principi di cui agli articoli 7 e 8 e il ruolo dei partner di cui all'articolo 5 nell'attuazione del programma e riferisce in merito al sostegno utilizzato per gli obiettivi relativi al cambiamento climatico.</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5. La relazione di attuazione annuale da presentare nel 2019 e la relazione di attuazione finale per i fondi SIE, oltre alle informazioni e alle valutazioni di cui ai paragrafi 2 e 3, comprendono informazioni e valutazioni sui progressi nel conseguimento degli obiettivi del programma e sul suo contributo alla realizzazione della strategia dell'Unione per una crescita intelligente, sostenibile e inclusiva.</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6. Per essere considerate ricevibili, le relazioni di attuazione annuali di cui ai paragrafi da 1 a 4 devono contenere tutte le informazioni indicate negli stessi paragrafi e nelle norme specifiche di ciascun fondo.</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Ove la Commissione non comunichi allo Stato membro che la relazione di attuazione annuale non è ricevibile entro 15 giorni lavorativi dalla ricezione dello stesso, tale relazione si considera ricevibile.</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I rapporti di cui al paragrafo 1 si considerano ricevibili se contengono tutte le informazioni appropriate di cui al paragrafo 2. La Commissione dispone di dieci giorni lavorativi per informare lo Stato membro sulla ricevibilità del rapporto annuale, a decorrere dalla data di ricevimento dello stesso.</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7. La Commissione esamina la relazione di attuazione annuale e finale e informa lo Stato membro in merito alle sue osservazioni entro due mesi dalla data di ricezione della stessa e in merito alla relazione di attuazione finale entro cinque mesi dalla data di ricezione della </w:t>
            </w:r>
            <w:r w:rsidRPr="003A1B35">
              <w:rPr>
                <w:rFonts w:ascii="Times New Roman" w:hAnsi="Times New Roman" w:cs="Times New Roman"/>
                <w:sz w:val="20"/>
                <w:szCs w:val="20"/>
              </w:rPr>
              <w:lastRenderedPageBreak/>
              <w:t>stessa. Ove la Commissione non esprima osservazioni entro i termini stabiliti, le relazioni s'intendono accettate.</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lastRenderedPageBreak/>
              <w:t xml:space="preserve">4. La Commissione dispone di due mesi per informare lo Stato membro del suo parere sul contenuto di un rapporto annuale di esecuzione ricevibile trasmesso dall'autorità di gestione, a decorrere dalla data di ricezione dello stesso. Per il rapporto finale su un programma operativo, il termine massimo è di cinque mesi a decorrere dalla data di ricezione di un </w:t>
            </w:r>
            <w:r w:rsidRPr="003A1B35">
              <w:rPr>
                <w:rFonts w:ascii="Times New Roman" w:hAnsi="Times New Roman" w:cs="Times New Roman"/>
                <w:sz w:val="20"/>
                <w:szCs w:val="20"/>
              </w:rPr>
              <w:lastRenderedPageBreak/>
              <w:t>rapporto ricevibile. Qualora la Commissione non risponda entro il termine stabilito, il rapporto si considera accettato.</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lastRenderedPageBreak/>
              <w:t>8. La Commissione può formulare osservazioni all'autorità di gestione in merito ai problemi che incidono in modo significativo sull'attuazione del programma. In tal caso, l'autorità di gestione fornisce tutte le informazioni necessarie circa tali osservazioni e, se opportuno, informa la Commissione entro tre mesi in merito alle misure adottate.</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9. Sono rese pubbliche le relazioni di attuazione annuali e finali, nonché una sintesi dei relativi contenuti.</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111</w:t>
            </w:r>
          </w:p>
          <w:p w:rsidR="00C33419" w:rsidRPr="003A1B35" w:rsidRDefault="00C33419" w:rsidP="00B90105">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Relazioni di attuazione per l'obiettivo Investimenti in favore della crescita e dell'occupazione</w:t>
            </w:r>
          </w:p>
        </w:tc>
        <w:tc>
          <w:tcPr>
            <w:tcW w:w="7629" w:type="dxa"/>
          </w:tcPr>
          <w:p w:rsidR="00C33419" w:rsidRPr="003A1B35" w:rsidRDefault="00C33419" w:rsidP="00B90105">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67</w:t>
            </w:r>
          </w:p>
          <w:p w:rsidR="00C33419" w:rsidRPr="003A1B35" w:rsidRDefault="00C33419" w:rsidP="00B90105">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Rapporto annuale e rapporto finale di esecuzione</w:t>
            </w: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Entro il 31 maggio 2016 ed entro la stessa data di ogni anno successivo fino al 2023 compreso, lo Stato membro trasmette alla Commissione una relazione di attuazione annuale conformemente all'articolo 50, paragrafo 1. La relazione presentata nel 2016 copre gli esercizi finanziari 2014 e 2015, nonché il periodo tra la data iniziale di ammissibilità della spesa e il 31 dicembre 2013.</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Per la prima volta nel 2008 ed entro il 30 giugno di ogni anno, l'autorità di gestione trasmette alla Commissione un rapporto annuale ed entro il 31 marzo 2017 un rapporto finale di esecuzione del programma operativo.</w:t>
            </w: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Per le relazioni presentate nel 2017 e nel 2019, la scadenza di cui al paragrafo 1 è il 30 giugno.</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Le relazioni di attuazione annuali contengono informazioni su quanto segue:</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Per fornire un quadro esauriente dell'esecuzione del programma operativo, i rapporti di cui al paragrafo 1 riportano le seguenti informazioni:</w:t>
            </w:r>
          </w:p>
        </w:tc>
      </w:tr>
      <w:tr w:rsidR="00C33419" w:rsidRPr="003A1B35" w:rsidTr="00B90105">
        <w:trPr>
          <w:trHeight w:val="929"/>
        </w:trPr>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a) esecuzione del programma operativo conformemente all'articolo 50, paragrafo 2;</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a) lo stato di avanzamento del programma operativo e degli assi prioritari rispetto ai loro obiettivi specifici verificabili, con una quantificazione, ogniqualvolta essa sia possibile, usando gli indicatori di cui all'articolo 37, paragrafo 1, lettera c), per asse prioritario;</w:t>
            </w: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b) progressi nella preparazione e nell'attuazione di grandi progetti e piani d'azione comuni.</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g) se del caso, lo stato di avanzamento e di finanziamento dei grandi progetti;</w:t>
            </w: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Le relazioni di attuazione annuali presentate nel 2017 e nel 2019 contengono e valutano le informazioni previste a norma dell'articolo 50, rispettivamente paragrafi 4 e 5, e le informazioni di cui al paragrafo 3 del presente articolo, nonché le informazioni seguenti:</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a) i progressi nell'attuazione del piano di valutazione e il seguito dato alle risultanze delle valutazioni;</w:t>
            </w:r>
          </w:p>
        </w:tc>
        <w:tc>
          <w:tcPr>
            <w:tcW w:w="7629" w:type="dxa"/>
          </w:tcPr>
          <w:p w:rsidR="007A6BB4" w:rsidRPr="003A1B35" w:rsidRDefault="007A6BB4" w:rsidP="007A6BB4">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d) le disposizioni adottate dall'autorità di gestione o dal comitato di sorveglianza per assicurare la qualità e l'efficacia dell'esecuzione, riguardanti segnatamente:</w:t>
            </w:r>
          </w:p>
          <w:p w:rsidR="00C33419" w:rsidRPr="003A1B35" w:rsidRDefault="007A6BB4"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 le azioni di sorveglianza e valutazione, comprese le modalità per la raccolta dei dati;</w:t>
            </w: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lastRenderedPageBreak/>
              <w:t>b) i risultati delle misure di informazione e pubblicità dei fondi promosse nell'ambito della strategia di comunicazione;</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e) le azioni adottate per fornire informazioni in merito al programma operativo e per pubblicizzarlo;</w:t>
            </w: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c) il coinvolgimento dei partner nelle fasi di attuazione, sorveglianza e valutazione del programma operativo.</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Le relazioni di attuazione annuali presentate nel 2017 e nel 2019 possono, a seconda del contenuto e degli obiettivi dei programmi operativi, stabilire le informazioni e valutare le informazioni seguenti:</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a) i progressi nell'attuazione dell'approccio integrato allo sviluppo territoriale, compreso lo sviluppo delle regioni che affrontano sfide demografiche e svantaggi naturali o permanenti, lo sviluppo urbano sostenibile e lo sviluppo locale di tipo partecipativo nell'ambito del programma operativo;</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b) i progressi nell'attuazione delle azioni intese a rafforzare la capacità delle autorità degli Stati membri e dei beneficiari di amministrare e utilizzare i fondi;</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c) i progressi nell'attuazione di eventuali azioni interregionali e transnazionali;</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d) se del caso, i contributi alle strategie </w:t>
            </w:r>
            <w:proofErr w:type="spellStart"/>
            <w:r w:rsidRPr="003A1B35">
              <w:rPr>
                <w:rFonts w:ascii="Times New Roman" w:hAnsi="Times New Roman" w:cs="Times New Roman"/>
                <w:sz w:val="20"/>
                <w:szCs w:val="20"/>
              </w:rPr>
              <w:t>macroregionali</w:t>
            </w:r>
            <w:proofErr w:type="spellEnd"/>
            <w:r w:rsidRPr="003A1B35">
              <w:rPr>
                <w:rFonts w:ascii="Times New Roman" w:hAnsi="Times New Roman" w:cs="Times New Roman"/>
                <w:sz w:val="20"/>
                <w:szCs w:val="20"/>
              </w:rPr>
              <w:t xml:space="preserve"> e relative ai bacini marittimi;</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e) le azioni specifiche intraprese per promuovere l'uguaglianza tra uomini e donne e prevenire la discriminazione, in particolare l'accessibilità per le persone con disabilità, e i dispositivi attuati per garantire l'integrazione della prospettiva di genere nei programmi operativi e nelle operazioni;</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f) le azioni intraprese per promuovere lo sviluppo sostenibile a norma dell'articolo 8;</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g) i progressi nell'attuazione delle azioni in materia di innovazione sociale, se del caso;</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h) i progressi nell'esecuzione di misure intese a rispondere alle esigenze specifiche delle aree geografiche più colpite dalla povertà o gruppi bersaglio a maggior rischio di povertà, discriminazione o di esclusione sociale, con particolare riguardo per le comunità emarginate, le persone con disabilità, i disoccupati di lungo periodo e i giovani non occupati, comprese, se del caso, le risorse finanziarie utilizzate.</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In deroga al primo e secondo comma, e allo scopo di garantire la coerenza tra l'accordo di partenariato e la relazione sullo stato dei lavori, gli Stati membri con non più di un programma operativo per fondo possono includere le informazioni relative alle condizionalità ex ante di cui all'articolo 50, paragrafo 3, le informazioni richieste ai sensi dell'articolo 50, paragrafo 4, e le informazioni di cui alle lettere a), b), c) e h) del secondo comma del presente paragrafo </w:t>
            </w:r>
            <w:r w:rsidRPr="003A1B35">
              <w:rPr>
                <w:rFonts w:ascii="Times New Roman" w:hAnsi="Times New Roman" w:cs="Times New Roman"/>
                <w:sz w:val="20"/>
                <w:szCs w:val="20"/>
              </w:rPr>
              <w:lastRenderedPageBreak/>
              <w:t>nella relazione sullo stato dei lavori, in luogo della relazione di attuazione annuale presentate nel 2017 e nel 2019, e della relazione di attuazione finale, fatto salvo l'articolo 110, paragrafo 2, lettera b).</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C33419" w:rsidRPr="003A1B35" w:rsidTr="00B90105">
        <w:tc>
          <w:tcPr>
            <w:tcW w:w="7628" w:type="dxa"/>
          </w:tcPr>
          <w:p w:rsidR="00C33419" w:rsidRPr="003A1B35" w:rsidRDefault="00C33419" w:rsidP="00B901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lastRenderedPageBreak/>
              <w:t>5. Al fine di garantire condizioni uniformi di esecuzione del presente articolo, la Commissione adotta atti di esecuzione che stabiliscono i modelli per le relazioni di attuazione annuali e finali. Tali atti di esecuzione sono adottati secondo la procedura consultiva di cui all'articolo 150, paragrafo 2.</w:t>
            </w:r>
          </w:p>
        </w:tc>
        <w:tc>
          <w:tcPr>
            <w:tcW w:w="7629" w:type="dxa"/>
          </w:tcPr>
          <w:p w:rsidR="00C33419" w:rsidRPr="003A1B35" w:rsidRDefault="00C33419" w:rsidP="00B90105">
            <w:pPr>
              <w:spacing w:before="120" w:after="120"/>
              <w:jc w:val="both"/>
              <w:rPr>
                <w:rFonts w:ascii="Times New Roman" w:hAnsi="Times New Roman" w:cs="Times New Roman"/>
                <w:sz w:val="20"/>
                <w:szCs w:val="20"/>
              </w:rPr>
            </w:pPr>
          </w:p>
        </w:tc>
      </w:tr>
      <w:tr w:rsidR="00351710" w:rsidRPr="003A1B35" w:rsidTr="00F23C2A">
        <w:tc>
          <w:tcPr>
            <w:tcW w:w="7628" w:type="dxa"/>
          </w:tcPr>
          <w:p w:rsidR="00351710" w:rsidRPr="003A1B35" w:rsidRDefault="00351710" w:rsidP="003517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51</w:t>
            </w:r>
          </w:p>
          <w:p w:rsidR="00351710" w:rsidRPr="003A1B35" w:rsidRDefault="00351710" w:rsidP="003517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Riunione annuale di riesame</w:t>
            </w:r>
          </w:p>
        </w:tc>
        <w:tc>
          <w:tcPr>
            <w:tcW w:w="7629" w:type="dxa"/>
          </w:tcPr>
          <w:p w:rsidR="00351710" w:rsidRPr="003A1B35" w:rsidRDefault="00351710" w:rsidP="003517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68</w:t>
            </w:r>
          </w:p>
          <w:p w:rsidR="00351710" w:rsidRPr="003A1B35" w:rsidRDefault="00351710" w:rsidP="00351710">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Esame annuale dei programmi</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Ogni anno a partire dal 2016 e fino al 2023 compreso, è organizzata una riunione annuale di riesame tra la Commissione e ciascuno Stato membro, al fine di esaminare i risultati di ciascun programma, tenendo conto della relazione di attuazione annuale e delle osservazioni della Commissione, se del caso.</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Ogni anno, al momento di presentare il rapporto annuale di esecuzione di cui all'articolo 67, la Commissione e l'autorità di gestione esaminano lo stato di avanzamento del programma operativo, i principali risultati ottenuti nel corso dell'anno precedente, l'esecuzione finanziaria e altri aspetti, allo scopo di migliorare l'esecuzione.</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p>
        </w:tc>
        <w:tc>
          <w:tcPr>
            <w:tcW w:w="7629"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Possono essere altresì esaminati gli aspetti relativi al funzionamento del sistema di gestione e di controllo emersi nell'ultimo rapporto annuale di controllo di cui all'articolo 62, paragrafo 1, lettera d), punto i).</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La riunione annuale di riesame può riguardare più di un programma. Quest'ultima, nel 2017 e nel 2019, copre tutti i programmi in atto nello Stato membro, tenendo conto inoltre delle relazioni sullo stato di attuazione presentate in tali anni dallo Stato membro conformemente all'articolo 52.</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In deroga al paragrafo 1, lo Stato membro e la Commissione possono convenire di non organizzare la riunione annuale di riesame relativa a un programma in anni diversi dal 2017 e 2019.</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La riunione annuale di riesame è presieduta dalla Commissione o, qualora lo Stato membro ne faccia richiesta, è presieduta congiuntamente dallo Stato membro e dalla Commissione.</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5. Lo Stato membro assicura che sia dato un seguito appropriato alle osservazioni della Commissione in seguito alla riunione annuale di riesame in merito ai problemi che influenzano in modo significativo l'attuazione del programma e, se del caso, informano la Commissione, entro tre mesi, relativamente alle misure adottate.</w:t>
            </w:r>
          </w:p>
        </w:tc>
        <w:tc>
          <w:tcPr>
            <w:tcW w:w="7629"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2. Successivamente all'esame di cui al paragrafo 1, la Commissione può rivolgere osservazioni allo Stato membro e all'autorità di gestione, che ne informa il comitato di sorveglianza. </w:t>
            </w:r>
          </w:p>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Lo Stato membro informa la Commissione del seguito dato a tali osservazioni.</w:t>
            </w:r>
          </w:p>
        </w:tc>
      </w:tr>
      <w:tr w:rsidR="00351710" w:rsidRPr="003A1B35" w:rsidTr="00F23C2A">
        <w:tc>
          <w:tcPr>
            <w:tcW w:w="7628" w:type="dxa"/>
          </w:tcPr>
          <w:p w:rsidR="00351710" w:rsidRPr="003A1B35" w:rsidRDefault="00351710" w:rsidP="00351710">
            <w:pPr>
              <w:spacing w:before="120" w:after="120"/>
              <w:jc w:val="both"/>
              <w:rPr>
                <w:rFonts w:ascii="Times New Roman" w:hAnsi="Times New Roman" w:cs="Times New Roman"/>
                <w:sz w:val="20"/>
                <w:szCs w:val="20"/>
              </w:rPr>
            </w:pPr>
          </w:p>
        </w:tc>
        <w:tc>
          <w:tcPr>
            <w:tcW w:w="7629" w:type="dxa"/>
          </w:tcPr>
          <w:p w:rsidR="00351710" w:rsidRPr="003A1B35" w:rsidRDefault="00351710"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Una volta che siano disponibili, se del caso, le valutazioni ex post dell'intervento dei Fondi nel periodo di programmazione 2000-2006, i risultati globali possono essere esaminati nell'ambito del primo esame annuale successivo.</w:t>
            </w:r>
          </w:p>
        </w:tc>
      </w:tr>
      <w:tr w:rsidR="00436305" w:rsidRPr="0098403B" w:rsidTr="00F23C2A">
        <w:tc>
          <w:tcPr>
            <w:tcW w:w="7628" w:type="dxa"/>
          </w:tcPr>
          <w:p w:rsidR="00436305" w:rsidRPr="0098403B" w:rsidRDefault="00436305" w:rsidP="007A4183">
            <w:pPr>
              <w:jc w:val="center"/>
              <w:rPr>
                <w:rFonts w:ascii="Times New Roman" w:hAnsi="Times New Roman" w:cs="Times New Roman"/>
                <w:b/>
                <w:sz w:val="20"/>
                <w:szCs w:val="20"/>
              </w:rPr>
            </w:pPr>
            <w:r w:rsidRPr="0098403B">
              <w:rPr>
                <w:rFonts w:ascii="Times New Roman" w:hAnsi="Times New Roman" w:cs="Times New Roman"/>
                <w:b/>
                <w:sz w:val="20"/>
                <w:szCs w:val="20"/>
              </w:rPr>
              <w:lastRenderedPageBreak/>
              <w:t>CAPO II</w:t>
            </w:r>
          </w:p>
          <w:p w:rsidR="00436305" w:rsidRPr="0098403B" w:rsidRDefault="00436305" w:rsidP="007A4183">
            <w:pPr>
              <w:jc w:val="center"/>
              <w:rPr>
                <w:rFonts w:ascii="Times New Roman" w:hAnsi="Times New Roman" w:cs="Times New Roman"/>
                <w:b/>
                <w:sz w:val="20"/>
                <w:szCs w:val="20"/>
              </w:rPr>
            </w:pPr>
            <w:r w:rsidRPr="0098403B">
              <w:rPr>
                <w:rFonts w:ascii="Times New Roman" w:hAnsi="Times New Roman" w:cs="Times New Roman"/>
                <w:b/>
                <w:sz w:val="20"/>
                <w:szCs w:val="20"/>
              </w:rPr>
              <w:t>Valutazione</w:t>
            </w:r>
          </w:p>
        </w:tc>
        <w:tc>
          <w:tcPr>
            <w:tcW w:w="7629" w:type="dxa"/>
          </w:tcPr>
          <w:p w:rsidR="006926E6" w:rsidRPr="0098403B" w:rsidRDefault="006926E6" w:rsidP="007A4183">
            <w:pPr>
              <w:jc w:val="center"/>
              <w:rPr>
                <w:rFonts w:ascii="Times New Roman" w:hAnsi="Times New Roman" w:cs="Times New Roman"/>
                <w:b/>
                <w:sz w:val="20"/>
                <w:szCs w:val="20"/>
              </w:rPr>
            </w:pPr>
            <w:r w:rsidRPr="0098403B">
              <w:rPr>
                <w:rFonts w:ascii="Times New Roman" w:hAnsi="Times New Roman" w:cs="Times New Roman"/>
                <w:b/>
                <w:sz w:val="20"/>
                <w:szCs w:val="20"/>
              </w:rPr>
              <w:t>CAPO I</w:t>
            </w:r>
          </w:p>
          <w:p w:rsidR="00436305" w:rsidRPr="0098403B" w:rsidRDefault="006926E6" w:rsidP="007A4183">
            <w:pPr>
              <w:jc w:val="center"/>
              <w:rPr>
                <w:rFonts w:ascii="Times New Roman" w:hAnsi="Times New Roman" w:cs="Times New Roman"/>
                <w:b/>
                <w:sz w:val="20"/>
                <w:szCs w:val="20"/>
              </w:rPr>
            </w:pPr>
            <w:r w:rsidRPr="0098403B">
              <w:rPr>
                <w:rFonts w:ascii="Times New Roman" w:hAnsi="Times New Roman" w:cs="Times New Roman"/>
                <w:b/>
                <w:sz w:val="20"/>
                <w:szCs w:val="20"/>
              </w:rPr>
              <w:t>Valutazione</w:t>
            </w:r>
          </w:p>
        </w:tc>
      </w:tr>
      <w:tr w:rsidR="00436305" w:rsidRPr="003A1B35" w:rsidTr="00F23C2A">
        <w:tc>
          <w:tcPr>
            <w:tcW w:w="7628" w:type="dxa"/>
          </w:tcPr>
          <w:p w:rsidR="00436305" w:rsidRPr="003A1B35" w:rsidRDefault="00436305" w:rsidP="00436305">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54</w:t>
            </w:r>
          </w:p>
          <w:p w:rsidR="00436305" w:rsidRPr="003A1B35" w:rsidRDefault="00436305" w:rsidP="00436305">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Disposizioni generali</w:t>
            </w:r>
          </w:p>
        </w:tc>
        <w:tc>
          <w:tcPr>
            <w:tcW w:w="7629" w:type="dxa"/>
          </w:tcPr>
          <w:p w:rsidR="006926E6" w:rsidRPr="003A1B35" w:rsidRDefault="006926E6" w:rsidP="006926E6">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47</w:t>
            </w:r>
          </w:p>
          <w:p w:rsidR="00436305" w:rsidRPr="003A1B35" w:rsidRDefault="006926E6" w:rsidP="006926E6">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Disposizioni generali</w:t>
            </w:r>
          </w:p>
        </w:tc>
      </w:tr>
      <w:tr w:rsidR="00436305" w:rsidRPr="003A1B35" w:rsidTr="00F23C2A">
        <w:tc>
          <w:tcPr>
            <w:tcW w:w="7628" w:type="dxa"/>
          </w:tcPr>
          <w:p w:rsidR="00436305" w:rsidRPr="003A1B35" w:rsidRDefault="00436305" w:rsidP="00436305">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Le valutazioni sono effettuate per migliorare la qualità della progettazione e dell'esecuzione dei programmi e per valutarne l'efficacia, l'efficienza e l'impatto. L'impatto dei programmi viene valutato, alla luce della missione dei rispettivi fondi SIE, in relazione agli obiettivi della strategia dell'Unione per una crescita intelligente, sostenibile e inclusiva, e tenendo conto delle dimensioni del programma in relazione al PIL e al tasso di disoccupazione nella zona del programma interessata, ove appropriato.</w:t>
            </w:r>
          </w:p>
        </w:tc>
        <w:tc>
          <w:tcPr>
            <w:tcW w:w="7629" w:type="dxa"/>
          </w:tcPr>
          <w:p w:rsidR="00436305" w:rsidRPr="003A1B35" w:rsidRDefault="006926E6" w:rsidP="006926E6">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Le valutazioni sono volte a migliorare la qualità, l'efficacia e la coerenza dell'intervento dei Fondi nonché la strategia e l'attuazione dei programmi operativi con riguardo ai problemi strutturali specifici che caratterizzano gli Stati membri e le regioni interessate, tenendo conto al tempo stesso dell'obiettivo di sviluppo sostenibile e della pertinente normativa comunitaria in materia di impatto ambientale e valutazione ambientale strategica.</w:t>
            </w:r>
          </w:p>
        </w:tc>
      </w:tr>
      <w:tr w:rsidR="006926E6" w:rsidRPr="003A1B35" w:rsidTr="00F23C2A">
        <w:tc>
          <w:tcPr>
            <w:tcW w:w="7628" w:type="dxa"/>
          </w:tcPr>
          <w:p w:rsidR="006926E6" w:rsidRPr="003A1B35" w:rsidRDefault="006926E6" w:rsidP="00436305">
            <w:pPr>
              <w:spacing w:before="120" w:after="120"/>
              <w:jc w:val="both"/>
              <w:rPr>
                <w:rFonts w:ascii="Times New Roman" w:hAnsi="Times New Roman" w:cs="Times New Roman"/>
                <w:sz w:val="20"/>
                <w:szCs w:val="20"/>
              </w:rPr>
            </w:pPr>
          </w:p>
        </w:tc>
        <w:tc>
          <w:tcPr>
            <w:tcW w:w="7629" w:type="dxa"/>
          </w:tcPr>
          <w:p w:rsidR="006926E6" w:rsidRPr="003A1B35" w:rsidRDefault="006926E6" w:rsidP="006926E6">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Le valutazioni possono essere di natura strategica al fine di esaminare l'evoluzione di un programma o di un gruppo di programmi rispetto alle priorità comunitarie e nazionali oppure di natura operativa al fine di sostenere la sorveglianza di un programma operativo. Le valutazioni vengono effettuate prima, durante e dopo il periodo di programmazione.</w:t>
            </w:r>
          </w:p>
        </w:tc>
      </w:tr>
      <w:tr w:rsidR="00436305" w:rsidRPr="003A1B35" w:rsidTr="00F23C2A">
        <w:tc>
          <w:tcPr>
            <w:tcW w:w="7628" w:type="dxa"/>
          </w:tcPr>
          <w:p w:rsidR="00436305" w:rsidRPr="003A1B35" w:rsidRDefault="00436305"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Gli Stati membri forniscono le risorse necessarie allo svolgimento delle valutazioni e garantiscono l'esistenza di procedure per la produzione e la raccolta dei dati necessari, compresi i dati relativi agli indicatori comuni e, ove appropriato, agli indicatori specifici per programma.</w:t>
            </w:r>
          </w:p>
        </w:tc>
        <w:tc>
          <w:tcPr>
            <w:tcW w:w="7629" w:type="dxa"/>
          </w:tcPr>
          <w:p w:rsidR="006926E6" w:rsidRPr="003A1B35" w:rsidRDefault="006926E6"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3. Le valutazioni sono effettuate, secondo il caso, sotto la responsabilità dello Stato membro o della Commissione, conformemente al principio di proporzionalità di cui all'articolo 13. </w:t>
            </w:r>
          </w:p>
          <w:p w:rsidR="00436305" w:rsidRPr="003A1B35" w:rsidRDefault="006926E6"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Le valutazioni sono finanziate tramite il bilancio per l'assistenza tecnica.</w:t>
            </w:r>
          </w:p>
        </w:tc>
      </w:tr>
      <w:tr w:rsidR="00436305" w:rsidRPr="003A1B35" w:rsidTr="00F23C2A">
        <w:tc>
          <w:tcPr>
            <w:tcW w:w="7628" w:type="dxa"/>
          </w:tcPr>
          <w:p w:rsidR="00436305" w:rsidRPr="003A1B35" w:rsidRDefault="00436305"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Le valutazioni sono effettuate da esperti interni o esterni funzionalmente indipendenti dalle autorità responsabili dell'attuazione del programma. La Commissione fornisce orientamenti su come effettuare le valutazioni, immediatamente dopo l'entrata in vigore del presente regolamento.</w:t>
            </w:r>
          </w:p>
        </w:tc>
        <w:tc>
          <w:tcPr>
            <w:tcW w:w="7629" w:type="dxa"/>
          </w:tcPr>
          <w:p w:rsidR="006926E6" w:rsidRPr="003A1B35" w:rsidRDefault="006926E6" w:rsidP="006926E6">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Le valutazioni sono effettuate da esperti o organismi, interni o esterni, funzionalmente indipendenti dalle autorità di cui all'articolo 59, lettere b) e c). I risultati sono pubblicati secondo le norme che si applicano in materia di accesso ai documenti. </w:t>
            </w:r>
          </w:p>
          <w:p w:rsidR="00436305" w:rsidRPr="003A1B35" w:rsidRDefault="006926E6" w:rsidP="006926E6">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5. La Commissione fornisce orientamenti indicativi sui metodi di valutazione, compresi i parametri di qualità, secondo la procedura di cui all'articolo 103, paragrafo 2.</w:t>
            </w:r>
          </w:p>
        </w:tc>
      </w:tr>
      <w:tr w:rsidR="00436305" w:rsidRPr="003A1B35" w:rsidTr="00F23C2A">
        <w:tc>
          <w:tcPr>
            <w:tcW w:w="7628" w:type="dxa"/>
          </w:tcPr>
          <w:p w:rsidR="00436305" w:rsidRPr="003A1B35" w:rsidRDefault="00436305"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Tutte le valutazioni sono rese pubbliche.</w:t>
            </w:r>
          </w:p>
        </w:tc>
        <w:tc>
          <w:tcPr>
            <w:tcW w:w="7629" w:type="dxa"/>
          </w:tcPr>
          <w:p w:rsidR="00436305" w:rsidRPr="003A1B35" w:rsidRDefault="00436305" w:rsidP="006926E6">
            <w:pPr>
              <w:spacing w:before="120" w:after="120"/>
              <w:jc w:val="both"/>
              <w:rPr>
                <w:rFonts w:ascii="Times New Roman" w:hAnsi="Times New Roman" w:cs="Times New Roman"/>
                <w:sz w:val="20"/>
                <w:szCs w:val="20"/>
              </w:rPr>
            </w:pPr>
          </w:p>
        </w:tc>
      </w:tr>
    </w:tbl>
    <w:p w:rsidR="0098403B" w:rsidRDefault="0098403B"/>
    <w:p w:rsidR="0098403B" w:rsidRDefault="0098403B"/>
    <w:p w:rsidR="0098403B" w:rsidRDefault="0098403B"/>
    <w:p w:rsidR="0098403B" w:rsidRDefault="0098403B"/>
    <w:tbl>
      <w:tblPr>
        <w:tblStyle w:val="Grigliatabella"/>
        <w:tblW w:w="0" w:type="auto"/>
        <w:tblLook w:val="04A0" w:firstRow="1" w:lastRow="0" w:firstColumn="1" w:lastColumn="0" w:noHBand="0" w:noVBand="1"/>
      </w:tblPr>
      <w:tblGrid>
        <w:gridCol w:w="7628"/>
        <w:gridCol w:w="7629"/>
      </w:tblGrid>
      <w:tr w:rsidR="00436305" w:rsidRPr="003A1B35" w:rsidTr="00F23C2A">
        <w:tc>
          <w:tcPr>
            <w:tcW w:w="7628" w:type="dxa"/>
          </w:tcPr>
          <w:p w:rsidR="00685A11" w:rsidRPr="003A1B35" w:rsidRDefault="00685A11" w:rsidP="007A4183">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lastRenderedPageBreak/>
              <w:t>Articolo 55</w:t>
            </w:r>
          </w:p>
          <w:p w:rsidR="00436305" w:rsidRPr="003A1B35" w:rsidRDefault="00685A11" w:rsidP="007A4183">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Valutazione ex ante</w:t>
            </w:r>
          </w:p>
        </w:tc>
        <w:tc>
          <w:tcPr>
            <w:tcW w:w="7629" w:type="dxa"/>
          </w:tcPr>
          <w:p w:rsidR="00C31CE2" w:rsidRPr="003A1B35" w:rsidRDefault="00C31CE2" w:rsidP="007A4183">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48</w:t>
            </w:r>
          </w:p>
          <w:p w:rsidR="00436305" w:rsidRPr="003A1B35" w:rsidRDefault="00C31CE2" w:rsidP="007A4183">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Responsabilità degli Stati membri</w:t>
            </w:r>
          </w:p>
        </w:tc>
      </w:tr>
      <w:tr w:rsidR="00436305" w:rsidRPr="003A1B35" w:rsidTr="00F23C2A">
        <w:tc>
          <w:tcPr>
            <w:tcW w:w="7628" w:type="dxa"/>
          </w:tcPr>
          <w:p w:rsidR="00436305" w:rsidRPr="003A1B35" w:rsidRDefault="00685A11" w:rsidP="00685A11">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1. Gli Stati membri effettuano </w:t>
            </w:r>
            <w:proofErr w:type="spellStart"/>
            <w:r w:rsidRPr="003A1B35">
              <w:rPr>
                <w:rFonts w:ascii="Times New Roman" w:hAnsi="Times New Roman" w:cs="Times New Roman"/>
                <w:sz w:val="20"/>
                <w:szCs w:val="20"/>
              </w:rPr>
              <w:t>valutazioni</w:t>
            </w:r>
            <w:proofErr w:type="spellEnd"/>
            <w:r w:rsidRPr="003A1B35">
              <w:rPr>
                <w:rFonts w:ascii="Times New Roman" w:hAnsi="Times New Roman" w:cs="Times New Roman"/>
                <w:sz w:val="20"/>
                <w:szCs w:val="20"/>
              </w:rPr>
              <w:t xml:space="preserve"> ex ante per migliorare la qualità della progettazione di ciascun programma.</w:t>
            </w:r>
          </w:p>
        </w:tc>
        <w:tc>
          <w:tcPr>
            <w:tcW w:w="7629" w:type="dxa"/>
          </w:tcPr>
          <w:p w:rsidR="00436305" w:rsidRPr="003A1B35" w:rsidRDefault="00C31CE2" w:rsidP="00C31CE2">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Gli Stati membri effettuano una valutazione ex ante per ciascun programma operativo separatamente nell'ambito dell'obiettivo «Convergenza». In casi debitamente giustificati, nel rispetto del principio di proporzionalità di cui all'articolo 13, e come convenuto tra la Commissione e lo Stato membro, gli Stati membri possono effettuare una unica valutazione ex ante concernente più programmi operativi.</w:t>
            </w:r>
          </w:p>
          <w:p w:rsidR="00C31CE2" w:rsidRPr="003A1B35" w:rsidRDefault="00C31CE2" w:rsidP="00C31CE2">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Per l'obiettivo «Competitività regionale e occupazione», gli Stati membri effettuano, in alternativa, una valutazione ex ante relativa all'insieme dei programmi operativi, una valutazione per ciascun Fondo, una valutazione per ciascuna priorità o una valutazione per ciascun programma operativo.</w:t>
            </w:r>
          </w:p>
          <w:p w:rsidR="00C31CE2" w:rsidRPr="003A1B35" w:rsidRDefault="00C31CE2" w:rsidP="00C31CE2">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Per l'obiettivo «Cooperazione territoriale Europea», gli Stati membri effettuano congiuntamente una valutazione ex ante relativa a ciascun programma operativo o a vari programmi operativi.</w:t>
            </w:r>
          </w:p>
        </w:tc>
      </w:tr>
      <w:tr w:rsidR="00436305" w:rsidRPr="003A1B35" w:rsidTr="00F23C2A">
        <w:tc>
          <w:tcPr>
            <w:tcW w:w="7628" w:type="dxa"/>
          </w:tcPr>
          <w:p w:rsidR="00436305" w:rsidRPr="003A1B35" w:rsidRDefault="00685A11"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Le valutazioni ex ante sono effettuate sotto la responsabilità dell'autorità competente per la preparazione dei programmi e sono presentate alla Commissione contemporaneamente al programma, unitamente a una sintesi. Le norme specifiche di ciascun fondo possono stabilire soglie al di sotto delle quali la valutazione ex ante può essere combinata alla valutazione di un altro programma.</w:t>
            </w:r>
          </w:p>
        </w:tc>
        <w:tc>
          <w:tcPr>
            <w:tcW w:w="7629" w:type="dxa"/>
          </w:tcPr>
          <w:p w:rsidR="00436305" w:rsidRPr="003A1B35" w:rsidRDefault="00C31CE2" w:rsidP="00C31CE2">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Le valutazioni ex ante sono effettuate sotto la responsabilità dell'autorità competente per la preparazione dei documenti di programmazione</w:t>
            </w:r>
          </w:p>
        </w:tc>
      </w:tr>
      <w:tr w:rsidR="00C31CE2" w:rsidRPr="003A1B35" w:rsidTr="007A4183">
        <w:tc>
          <w:tcPr>
            <w:tcW w:w="7628" w:type="dxa"/>
          </w:tcPr>
          <w:p w:rsidR="00C31CE2" w:rsidRPr="003A1B35" w:rsidRDefault="00C31CE2" w:rsidP="00F23C2A">
            <w:pPr>
              <w:keepNext/>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Le valutazioni ex ante prendono in esame quanto segue:</w:t>
            </w:r>
          </w:p>
        </w:tc>
        <w:tc>
          <w:tcPr>
            <w:tcW w:w="7629" w:type="dxa"/>
            <w:vMerge w:val="restart"/>
            <w:vAlign w:val="center"/>
          </w:tcPr>
          <w:p w:rsidR="00C31CE2" w:rsidRPr="003A1B35" w:rsidRDefault="00C31CE2" w:rsidP="007A4183">
            <w:pPr>
              <w:keepNext/>
              <w:spacing w:before="120" w:after="120"/>
              <w:rPr>
                <w:rFonts w:ascii="Times New Roman" w:hAnsi="Times New Roman" w:cs="Times New Roman"/>
                <w:sz w:val="20"/>
                <w:szCs w:val="20"/>
              </w:rPr>
            </w:pPr>
            <w:r w:rsidRPr="003A1B35">
              <w:rPr>
                <w:rFonts w:ascii="Times New Roman" w:hAnsi="Times New Roman" w:cs="Times New Roman"/>
                <w:sz w:val="20"/>
                <w:szCs w:val="20"/>
              </w:rPr>
              <w:t>Le valutazioni ex ante sono volte ad ottimizzare l'attribuzione delle risorse di bilancio nell'ambito dei programmi operativi e a migliorare la qualità della programmazione. Esse individuano e stimano le disparità, i divari e il potenziale di sviluppo, gli scopi da raggiungere, i risultati previsti, i traguardi quantificati, la coerenza, se del caso, della strategia proposta per la regione, il valore aggiunto comunitario, la misura in cui si è tenuto conto delle priorità della Comunità, gli insegnamenti tratti dalla programmazione precedente e la qualità delle procedure di attuazione, sorveglianza, valutazione e gestione finanziaria.</w:t>
            </w: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a) il contributo alla strategia dell'Unione per una crescita intelligente, sostenibile e inclusiva, in riferimento agli obiettivi tematici e alle priorità selezionati, tenendo conto delle esigenze nazionali e regionali, delle potenzialità di sviluppo, nonché dell'esperienza acquisita nell'ambito dei precedenti periodi di programmazione;</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b) la coerenza interna del programma o delle attività proposti e il rapporto con altri strumenti pertinenti;</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c) la coerenza dell'assegnazione delle risorse di bilancio con gli obiettivi del programma;</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d) la coerenza degli obiettivi tematici selezionati, delle priorità e dei corrispondenti obiettivi dei programmi con il QSC, l'accordo di partenariato e le raccomandazioni pertinenti specifiche per paese adottate a norma dell'articolo 121, paragrafo 2, TFUE e, se si applica a livello nazionale, il programma nazionale di riforma;</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e) la pertinenza e la chiarezza degli indicatori del programma proposto;</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lastRenderedPageBreak/>
              <w:t>f) in che modo i risultati attesi contribuiranno al conseguimento degli obiettivi;</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g) se i valori obiettivo quantificati relativi agli indicatori sono realistici, tenendo conto del sostegno previsto dei fondi SIE;</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h) la motivazione della forma di sostegno proposta;</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i) l'adeguatezza delle risorse umane e della capacità amministrativa per la gestione del programma;</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j) l'idoneità delle procedure per la sorveglianza del programma e per la raccolta dei dati necessari per l'effettuazione delle valutazioni;</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k) l'idoneità de target intermedi selezionati per il quadro di riferimento dell'efficacia dell'attuazione;</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l) l'adeguatezza delle misure pianificate per promuovere le pari opportunità tra uomini e donne e impedire qualunque discriminazione per quanto concerne, in particolare, l'accessibilità per le persone con disabilità;</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m) l'adeguatezza delle misure pianificate per promuovere lo sviluppo sostenibile;</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C31CE2" w:rsidRPr="003A1B35" w:rsidTr="00F23C2A">
        <w:tc>
          <w:tcPr>
            <w:tcW w:w="7628" w:type="dxa"/>
          </w:tcPr>
          <w:p w:rsidR="00C31CE2" w:rsidRPr="003A1B35" w:rsidRDefault="00C31CE2" w:rsidP="00351710">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n) le misure intese a ridurre gli oneri amministrativi a carico dei beneficiari.</w:t>
            </w:r>
          </w:p>
        </w:tc>
        <w:tc>
          <w:tcPr>
            <w:tcW w:w="7629" w:type="dxa"/>
            <w:vMerge/>
          </w:tcPr>
          <w:p w:rsidR="00C31CE2" w:rsidRPr="003A1B35" w:rsidRDefault="00C31CE2" w:rsidP="00351710">
            <w:pPr>
              <w:spacing w:before="120" w:after="120"/>
              <w:jc w:val="both"/>
              <w:rPr>
                <w:rFonts w:ascii="Times New Roman" w:hAnsi="Times New Roman" w:cs="Times New Roman"/>
                <w:sz w:val="20"/>
                <w:szCs w:val="20"/>
              </w:rPr>
            </w:pPr>
          </w:p>
        </w:tc>
      </w:tr>
      <w:tr w:rsidR="00685A11" w:rsidRPr="003A1B35" w:rsidTr="00F23C2A">
        <w:tc>
          <w:tcPr>
            <w:tcW w:w="7628" w:type="dxa"/>
          </w:tcPr>
          <w:p w:rsidR="00685A11" w:rsidRPr="003A1B35" w:rsidRDefault="00685A11" w:rsidP="00685A11">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Le valutazioni ex ante comprendono, ove appropriato, i requisiti per la valutazione ambientale strategica stabiliti nella direttiva 2001/42/CE del Parlamento europeo e del Consiglio, tenendo conto delle esigenze in materia di mitigazione dei cambiamenti climatici.</w:t>
            </w:r>
          </w:p>
        </w:tc>
        <w:tc>
          <w:tcPr>
            <w:tcW w:w="7629" w:type="dxa"/>
          </w:tcPr>
          <w:p w:rsidR="00685A11" w:rsidRPr="003A1B35" w:rsidRDefault="00685A11" w:rsidP="00351710">
            <w:pPr>
              <w:spacing w:before="120" w:after="120"/>
              <w:jc w:val="both"/>
              <w:rPr>
                <w:rFonts w:ascii="Times New Roman" w:hAnsi="Times New Roman" w:cs="Times New Roman"/>
                <w:sz w:val="20"/>
                <w:szCs w:val="20"/>
              </w:rPr>
            </w:pPr>
          </w:p>
        </w:tc>
      </w:tr>
    </w:tbl>
    <w:p w:rsidR="0098403B" w:rsidRDefault="0098403B"/>
    <w:p w:rsidR="0098403B" w:rsidRDefault="0098403B"/>
    <w:p w:rsidR="0098403B" w:rsidRDefault="0098403B"/>
    <w:p w:rsidR="0098403B" w:rsidRDefault="0098403B"/>
    <w:p w:rsidR="0098403B" w:rsidRDefault="0098403B"/>
    <w:p w:rsidR="0098403B" w:rsidRDefault="0098403B"/>
    <w:p w:rsidR="0098403B" w:rsidRDefault="0098403B"/>
    <w:tbl>
      <w:tblPr>
        <w:tblStyle w:val="Grigliatabella"/>
        <w:tblW w:w="0" w:type="auto"/>
        <w:tblLook w:val="04A0" w:firstRow="1" w:lastRow="0" w:firstColumn="1" w:lastColumn="0" w:noHBand="0" w:noVBand="1"/>
      </w:tblPr>
      <w:tblGrid>
        <w:gridCol w:w="7628"/>
        <w:gridCol w:w="7629"/>
      </w:tblGrid>
      <w:tr w:rsidR="00F23C2A" w:rsidRPr="003A1B35" w:rsidTr="00F23C2A">
        <w:tc>
          <w:tcPr>
            <w:tcW w:w="7628" w:type="dxa"/>
          </w:tcPr>
          <w:p w:rsidR="00F23C2A" w:rsidRPr="003A1B35" w:rsidRDefault="009E3D4B" w:rsidP="00F23C2A">
            <w:pPr>
              <w:spacing w:before="120" w:after="120"/>
              <w:rPr>
                <w:rFonts w:ascii="Times New Roman" w:hAnsi="Times New Roman" w:cs="Times New Roman"/>
                <w:b/>
                <w:i/>
                <w:sz w:val="20"/>
                <w:szCs w:val="20"/>
              </w:rPr>
            </w:pPr>
            <w:r w:rsidRPr="003A1B35">
              <w:rPr>
                <w:rFonts w:ascii="Times New Roman" w:hAnsi="Times New Roman" w:cs="Times New Roman"/>
                <w:sz w:val="20"/>
                <w:szCs w:val="20"/>
              </w:rPr>
              <w:lastRenderedPageBreak/>
              <w:br w:type="page"/>
            </w:r>
            <w:r w:rsidR="00F23C2A" w:rsidRPr="003A1B35">
              <w:rPr>
                <w:rFonts w:ascii="Times New Roman" w:hAnsi="Times New Roman" w:cs="Times New Roman"/>
                <w:b/>
                <w:i/>
                <w:sz w:val="20"/>
                <w:szCs w:val="20"/>
              </w:rPr>
              <w:t>Articolo 56</w:t>
            </w:r>
          </w:p>
          <w:p w:rsidR="00F23C2A" w:rsidRPr="003A1B35" w:rsidRDefault="00F23C2A" w:rsidP="00F23C2A">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Valutazione durante il periodo di programmazione</w:t>
            </w:r>
          </w:p>
        </w:tc>
        <w:tc>
          <w:tcPr>
            <w:tcW w:w="7629" w:type="dxa"/>
          </w:tcPr>
          <w:p w:rsidR="00F23C2A" w:rsidRPr="003A1B35" w:rsidRDefault="00F23C2A" w:rsidP="00F23C2A">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48</w:t>
            </w:r>
          </w:p>
          <w:p w:rsidR="00F23C2A" w:rsidRPr="003A1B35" w:rsidRDefault="00F23C2A" w:rsidP="00F23C2A">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Responsabilità degli Stati membri</w:t>
            </w:r>
          </w:p>
        </w:tc>
      </w:tr>
      <w:tr w:rsidR="00485F59" w:rsidRPr="003A1B35" w:rsidTr="00F23C2A">
        <w:tc>
          <w:tcPr>
            <w:tcW w:w="7628" w:type="dxa"/>
          </w:tcPr>
          <w:p w:rsidR="00485F59" w:rsidRPr="003A1B35" w:rsidRDefault="00485F59" w:rsidP="00485F59">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L'autorità di gestione o lo Stato membro redigono un piano di valutazione che può comprendere più di un programma. Esso viene presentato conformemente alle norme specifiche di ciascun fondo.</w:t>
            </w:r>
          </w:p>
        </w:tc>
        <w:tc>
          <w:tcPr>
            <w:tcW w:w="7629" w:type="dxa"/>
          </w:tcPr>
          <w:p w:rsidR="00485F59" w:rsidRPr="003A1B35" w:rsidRDefault="00485F59" w:rsidP="00485F59">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1. Gli Stati </w:t>
            </w:r>
            <w:proofErr w:type="gramStart"/>
            <w:r w:rsidRPr="003A1B35">
              <w:rPr>
                <w:rFonts w:ascii="Times New Roman" w:hAnsi="Times New Roman" w:cs="Times New Roman"/>
                <w:sz w:val="20"/>
                <w:szCs w:val="20"/>
              </w:rPr>
              <w:t>membri[</w:t>
            </w:r>
            <w:proofErr w:type="gramEnd"/>
            <w:r w:rsidRPr="003A1B35">
              <w:rPr>
                <w:rFonts w:ascii="Times New Roman" w:hAnsi="Times New Roman" w:cs="Times New Roman"/>
                <w:sz w:val="20"/>
                <w:szCs w:val="20"/>
              </w:rPr>
              <w:t>…]</w:t>
            </w:r>
          </w:p>
          <w:p w:rsidR="00485F59" w:rsidRPr="003A1B35" w:rsidRDefault="00485F59" w:rsidP="00485F59">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Nell'ambito dell'obiettivo «Convergenza», in conformità del principio di proporzionalità di cui all'articolo 13, essi possono inoltre redigere, se opportuno, un piano di valutazione che presenta a titolo indicativo le attività di valutazione che lo Stato membro intende svolgere nel corso delle diverse fasi di attuazione.</w:t>
            </w:r>
          </w:p>
        </w:tc>
      </w:tr>
      <w:tr w:rsidR="00485F59" w:rsidRPr="003A1B35" w:rsidTr="00F23C2A">
        <w:tc>
          <w:tcPr>
            <w:tcW w:w="7628" w:type="dxa"/>
          </w:tcPr>
          <w:p w:rsidR="00485F59" w:rsidRPr="003A1B35" w:rsidRDefault="00485F59" w:rsidP="00485F59">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Gli Stati membri assicurano la disponibilità di un'appropriata capacità di valutazione.</w:t>
            </w:r>
          </w:p>
        </w:tc>
        <w:tc>
          <w:tcPr>
            <w:tcW w:w="7629" w:type="dxa"/>
          </w:tcPr>
          <w:p w:rsidR="00485F59" w:rsidRPr="003A1B35" w:rsidRDefault="00485F59" w:rsidP="00485F59">
            <w:pPr>
              <w:spacing w:before="120" w:after="120"/>
              <w:jc w:val="both"/>
              <w:rPr>
                <w:rFonts w:ascii="Times New Roman" w:hAnsi="Times New Roman" w:cs="Times New Roman"/>
                <w:sz w:val="20"/>
                <w:szCs w:val="20"/>
              </w:rPr>
            </w:pPr>
          </w:p>
        </w:tc>
      </w:tr>
      <w:tr w:rsidR="00485F59" w:rsidRPr="003A1B35" w:rsidTr="00F23C2A">
        <w:tc>
          <w:tcPr>
            <w:tcW w:w="7628" w:type="dxa"/>
          </w:tcPr>
          <w:p w:rsidR="00485F59" w:rsidRPr="003A1B35" w:rsidRDefault="00485F59" w:rsidP="00485F59">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Nel corso del periodo di programmazione, l'autorità di gestione garantisce che siano effettuate valutazioni di ciascun programma, anche intese a valutarne l'efficacia, l'efficienza e l'impatto, sulla base del piano di valutazione, e che ogni valutazione sia soggetta ad appropriato follow-up conformemente alle norme specifiche di ciascun fondo. Almeno una volta nel corso del periodo di programmazione si valuta in che modo il sostegno dei fondi SIE abbia contribuito al conseguimento degli obiettivi di ciascuna priorità. Tutte le valutazioni sono soggette all'esame del comitato di sorveglianza e trasmesse alla Commissione.</w:t>
            </w:r>
          </w:p>
        </w:tc>
        <w:tc>
          <w:tcPr>
            <w:tcW w:w="7629" w:type="dxa"/>
          </w:tcPr>
          <w:p w:rsidR="00485F59" w:rsidRPr="003A1B35" w:rsidRDefault="00485F59" w:rsidP="00485F59">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Nel corso del periodo di programmazione, gli Stati membri effettuano valutazioni connesse alla sorveglianza dei programmi operativi, in particolare laddove la loro realizzazione si allontani in maniera significativa rispetto agli obiettivi inizialmente fissati o laddove siano presentate proposte per la revisione dei programmi operativi di cui all'articolo 33. I risultati sono trasmessi al comitato di sorveglianza del programma operativo e alla Commissione.</w:t>
            </w:r>
          </w:p>
        </w:tc>
      </w:tr>
      <w:tr w:rsidR="00F23C2A" w:rsidRPr="003A1B35" w:rsidTr="00F23C2A">
        <w:tc>
          <w:tcPr>
            <w:tcW w:w="7628" w:type="dxa"/>
          </w:tcPr>
          <w:p w:rsidR="00F23C2A" w:rsidRPr="003A1B35" w:rsidRDefault="00F23C2A" w:rsidP="00F23C2A">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La Commissione può effettuare di sua iniziativa valutazioni dei programmi. Essa ne informa l'autorità di gestione e i risultati sono trasmessi all'autorità di gestione e messi a disposizione del comitato di sorveglianza interessato.</w:t>
            </w:r>
          </w:p>
        </w:tc>
        <w:tc>
          <w:tcPr>
            <w:tcW w:w="7629" w:type="dxa"/>
          </w:tcPr>
          <w:p w:rsidR="00F23C2A" w:rsidRPr="003A1B35" w:rsidRDefault="00F23C2A" w:rsidP="00F23C2A">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49</w:t>
            </w:r>
          </w:p>
          <w:p w:rsidR="00F23C2A" w:rsidRPr="003A1B35" w:rsidRDefault="00F23C2A" w:rsidP="00F23C2A">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Responsabilità della Commissione</w:t>
            </w:r>
          </w:p>
          <w:p w:rsidR="00F23C2A" w:rsidRPr="003A1B35" w:rsidRDefault="00F23C2A" w:rsidP="00F23C2A">
            <w:pPr>
              <w:spacing w:before="120" w:after="120"/>
              <w:rPr>
                <w:rFonts w:ascii="Times New Roman" w:hAnsi="Times New Roman" w:cs="Times New Roman"/>
                <w:sz w:val="20"/>
                <w:szCs w:val="20"/>
              </w:rPr>
            </w:pPr>
            <w:r w:rsidRPr="003A1B35">
              <w:rPr>
                <w:rFonts w:ascii="Times New Roman" w:hAnsi="Times New Roman" w:cs="Times New Roman"/>
                <w:sz w:val="20"/>
                <w:szCs w:val="20"/>
              </w:rPr>
              <w:t>1. La Commissione può effettuare valutazioni strategiche.</w:t>
            </w:r>
          </w:p>
          <w:p w:rsidR="00F23C2A" w:rsidRPr="003A1B35" w:rsidRDefault="00F23C2A" w:rsidP="00F23C2A">
            <w:pPr>
              <w:spacing w:before="120" w:after="120"/>
              <w:rPr>
                <w:rFonts w:ascii="Times New Roman" w:hAnsi="Times New Roman" w:cs="Times New Roman"/>
                <w:sz w:val="20"/>
                <w:szCs w:val="20"/>
              </w:rPr>
            </w:pPr>
            <w:r w:rsidRPr="003A1B35">
              <w:rPr>
                <w:rFonts w:ascii="Times New Roman" w:hAnsi="Times New Roman" w:cs="Times New Roman"/>
                <w:sz w:val="20"/>
                <w:szCs w:val="20"/>
              </w:rPr>
              <w:t>2. Su sua iniziativa e in partenariato con lo Stato membro interessato, la Commissione può svolgere le valutazioni connesse alla sorveglianza dei programmi operativi la loro realizzazione si allontani in maniera significativa rispetto agli obiettivi inizialmente fissati. I risultati sono trasmessi al comitato di sorveglianza del programma operativo.</w:t>
            </w:r>
          </w:p>
        </w:tc>
      </w:tr>
      <w:tr w:rsidR="00F23C2A" w:rsidRPr="003A1B35" w:rsidTr="00F23C2A">
        <w:tc>
          <w:tcPr>
            <w:tcW w:w="7628" w:type="dxa"/>
          </w:tcPr>
          <w:p w:rsidR="00F23C2A" w:rsidRPr="003A1B35" w:rsidRDefault="00F23C2A" w:rsidP="00F23C2A">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5. I paragrafi 1, 2 e 3 del presente articolo non si applicano ai programmi dedicati di cui all'articolo 39, paragrafo 4, primo comma, lettera b).</w:t>
            </w:r>
          </w:p>
        </w:tc>
        <w:tc>
          <w:tcPr>
            <w:tcW w:w="7629" w:type="dxa"/>
          </w:tcPr>
          <w:p w:rsidR="00F23C2A" w:rsidRPr="003A1B35" w:rsidRDefault="00F23C2A" w:rsidP="00F23C2A">
            <w:pPr>
              <w:spacing w:before="120" w:after="120"/>
              <w:jc w:val="both"/>
              <w:rPr>
                <w:rFonts w:ascii="Times New Roman" w:hAnsi="Times New Roman" w:cs="Times New Roman"/>
                <w:sz w:val="20"/>
                <w:szCs w:val="20"/>
              </w:rPr>
            </w:pPr>
          </w:p>
        </w:tc>
      </w:tr>
    </w:tbl>
    <w:p w:rsidR="0098403B" w:rsidRDefault="0098403B"/>
    <w:p w:rsidR="0098403B" w:rsidRDefault="0098403B"/>
    <w:p w:rsidR="0098403B" w:rsidRDefault="0098403B"/>
    <w:p w:rsidR="0098403B" w:rsidRDefault="0098403B"/>
    <w:tbl>
      <w:tblPr>
        <w:tblStyle w:val="Grigliatabella"/>
        <w:tblW w:w="0" w:type="auto"/>
        <w:tblLook w:val="04A0" w:firstRow="1" w:lastRow="0" w:firstColumn="1" w:lastColumn="0" w:noHBand="0" w:noVBand="1"/>
      </w:tblPr>
      <w:tblGrid>
        <w:gridCol w:w="7628"/>
        <w:gridCol w:w="7629"/>
      </w:tblGrid>
      <w:tr w:rsidR="00F23C2A" w:rsidRPr="003A1B35" w:rsidTr="00F23C2A">
        <w:tc>
          <w:tcPr>
            <w:tcW w:w="7628" w:type="dxa"/>
          </w:tcPr>
          <w:p w:rsidR="00F23C2A" w:rsidRPr="003A1B35" w:rsidRDefault="00F23C2A" w:rsidP="007A4183">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lastRenderedPageBreak/>
              <w:t>Articolo 57</w:t>
            </w:r>
          </w:p>
          <w:p w:rsidR="00F23C2A" w:rsidRPr="003A1B35" w:rsidRDefault="00F23C2A" w:rsidP="007A4183">
            <w:pPr>
              <w:keepNext/>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Valutazione ex post</w:t>
            </w:r>
          </w:p>
        </w:tc>
        <w:tc>
          <w:tcPr>
            <w:tcW w:w="7629" w:type="dxa"/>
          </w:tcPr>
          <w:p w:rsidR="00F23C2A" w:rsidRPr="003A1B35" w:rsidRDefault="00F23C2A" w:rsidP="007A4183">
            <w:pPr>
              <w:keepNext/>
              <w:spacing w:before="120" w:after="120"/>
              <w:rPr>
                <w:rFonts w:ascii="Times New Roman" w:hAnsi="Times New Roman" w:cs="Times New Roman"/>
                <w:b/>
                <w:i/>
                <w:sz w:val="20"/>
                <w:szCs w:val="20"/>
              </w:rPr>
            </w:pPr>
          </w:p>
        </w:tc>
      </w:tr>
      <w:tr w:rsidR="00F23C2A" w:rsidRPr="003A1B35" w:rsidTr="00F23C2A">
        <w:tc>
          <w:tcPr>
            <w:tcW w:w="7628" w:type="dxa"/>
          </w:tcPr>
          <w:p w:rsidR="00F23C2A" w:rsidRPr="003A1B35" w:rsidRDefault="00F23C2A" w:rsidP="00F23C2A">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Le valutazioni ex post sono effettuate dalla Commissione o dagli Stati membri in stretta cooperazione con la Commissione. Le valutazioni ex post prendono in esame l'efficacia e l'efficienza dei fondi SIE e il loro contributo alla strategia dell'Unione per una crescita intelligente, sostenibile e inclusiva, tenendo conto degli obiettivi definiti in tale strategia dell'Unione e conformemente ai requisiti specifici stabiliti nelle norme specifiche di ciascun fondo.</w:t>
            </w:r>
          </w:p>
        </w:tc>
        <w:tc>
          <w:tcPr>
            <w:tcW w:w="7629" w:type="dxa"/>
          </w:tcPr>
          <w:p w:rsidR="00F23C2A" w:rsidRPr="003A1B35" w:rsidRDefault="00F23C2A" w:rsidP="00F23C2A">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49</w:t>
            </w:r>
          </w:p>
          <w:p w:rsidR="00F23C2A" w:rsidRPr="003A1B35" w:rsidRDefault="00F23C2A" w:rsidP="00F23C2A">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Responsabilità della Commissione</w:t>
            </w:r>
          </w:p>
          <w:p w:rsidR="00F23C2A" w:rsidRPr="003A1B35" w:rsidRDefault="00F23C2A" w:rsidP="0098403B">
            <w:pPr>
              <w:spacing w:before="120"/>
              <w:jc w:val="both"/>
              <w:rPr>
                <w:rFonts w:ascii="Times New Roman" w:hAnsi="Times New Roman" w:cs="Times New Roman"/>
                <w:sz w:val="20"/>
                <w:szCs w:val="20"/>
              </w:rPr>
            </w:pPr>
            <w:r w:rsidRPr="003A1B35">
              <w:rPr>
                <w:rFonts w:ascii="Times New Roman" w:hAnsi="Times New Roman" w:cs="Times New Roman"/>
                <w:sz w:val="20"/>
                <w:szCs w:val="20"/>
              </w:rPr>
              <w:t>La valutazione ex post copre l'insieme dei programmi operativi nell'ambito di ciascun obiettivo ed esamina il grado di utilizzazione delle risorse, l'efficienza e l'efficacia della programmazione dei Fondi e l'impatto socioeconomico.</w:t>
            </w:r>
          </w:p>
          <w:p w:rsidR="008D012F" w:rsidRPr="003A1B35" w:rsidRDefault="008D012F" w:rsidP="0098403B">
            <w:pPr>
              <w:spacing w:before="120"/>
              <w:jc w:val="both"/>
              <w:rPr>
                <w:rFonts w:ascii="Times New Roman" w:hAnsi="Times New Roman" w:cs="Times New Roman"/>
                <w:sz w:val="20"/>
                <w:szCs w:val="20"/>
              </w:rPr>
            </w:pPr>
            <w:r w:rsidRPr="003A1B35">
              <w:rPr>
                <w:rFonts w:ascii="Times New Roman" w:hAnsi="Times New Roman" w:cs="Times New Roman"/>
                <w:sz w:val="20"/>
                <w:szCs w:val="20"/>
              </w:rPr>
              <w:t xml:space="preserve">Essa è effettuata per ciascun obiettivo e intende trarre conclusioni riguardo alla politica di coesione economica e sociale. </w:t>
            </w:r>
          </w:p>
          <w:p w:rsidR="008D012F" w:rsidRPr="003A1B35" w:rsidRDefault="008D012F" w:rsidP="0098403B">
            <w:pPr>
              <w:spacing w:before="120"/>
              <w:jc w:val="both"/>
              <w:rPr>
                <w:rFonts w:ascii="Times New Roman" w:hAnsi="Times New Roman" w:cs="Times New Roman"/>
                <w:sz w:val="20"/>
                <w:szCs w:val="20"/>
              </w:rPr>
            </w:pPr>
            <w:r w:rsidRPr="003A1B35">
              <w:rPr>
                <w:rFonts w:ascii="Times New Roman" w:hAnsi="Times New Roman" w:cs="Times New Roman"/>
                <w:sz w:val="20"/>
                <w:szCs w:val="20"/>
              </w:rPr>
              <w:t>Essa individua i fattori che contribuiscono al successo o al fallimento dell'attuazione dei programmi operativi e individua le buone pratiche.</w:t>
            </w:r>
          </w:p>
        </w:tc>
      </w:tr>
      <w:tr w:rsidR="00F23C2A" w:rsidRPr="003A1B35" w:rsidTr="00F23C2A">
        <w:tc>
          <w:tcPr>
            <w:tcW w:w="7628" w:type="dxa"/>
          </w:tcPr>
          <w:p w:rsidR="00F23C2A" w:rsidRPr="003A1B35" w:rsidRDefault="00F23C2A" w:rsidP="00F23C2A">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Le valutazioni ex post sono completate entro il 31 dicembre 2024.</w:t>
            </w:r>
          </w:p>
        </w:tc>
        <w:tc>
          <w:tcPr>
            <w:tcW w:w="7629" w:type="dxa"/>
          </w:tcPr>
          <w:p w:rsidR="00F23C2A" w:rsidRPr="003A1B35" w:rsidRDefault="008D012F" w:rsidP="00F23C2A">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La valutazione ex post è ultimata entro il 31 dicembre 2015.</w:t>
            </w:r>
          </w:p>
        </w:tc>
      </w:tr>
      <w:tr w:rsidR="00F23C2A" w:rsidRPr="003A1B35" w:rsidTr="00F23C2A">
        <w:tc>
          <w:tcPr>
            <w:tcW w:w="7628" w:type="dxa"/>
          </w:tcPr>
          <w:p w:rsidR="00F23C2A" w:rsidRPr="003A1B35" w:rsidRDefault="00F23C2A" w:rsidP="00F23C2A">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La valutazione ex post dei programmi dedicati di cui all'articolo 39, paragrafo 4, primo comma, lettera b), è effettuata dalla Commissione e completata entro il 31 dicembre 2019.</w:t>
            </w:r>
          </w:p>
        </w:tc>
        <w:tc>
          <w:tcPr>
            <w:tcW w:w="7629" w:type="dxa"/>
          </w:tcPr>
          <w:p w:rsidR="00F23C2A" w:rsidRPr="003A1B35" w:rsidRDefault="00F23C2A" w:rsidP="00F23C2A">
            <w:pPr>
              <w:spacing w:before="120" w:after="120"/>
              <w:jc w:val="both"/>
              <w:rPr>
                <w:rFonts w:ascii="Times New Roman" w:hAnsi="Times New Roman" w:cs="Times New Roman"/>
                <w:sz w:val="20"/>
                <w:szCs w:val="20"/>
              </w:rPr>
            </w:pPr>
          </w:p>
        </w:tc>
      </w:tr>
      <w:tr w:rsidR="00F23C2A" w:rsidRPr="003A1B35" w:rsidTr="00F23C2A">
        <w:tc>
          <w:tcPr>
            <w:tcW w:w="7628" w:type="dxa"/>
          </w:tcPr>
          <w:p w:rsidR="00F23C2A" w:rsidRPr="003A1B35" w:rsidRDefault="00F23C2A" w:rsidP="00F23C2A">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4. Per ciascun Fondo strutturale e di investimento europeo, la Commissione elabora, entro il 31 dicembre 2025, un rapporto di sintesi che delinea le principali conclusioni delle valutazioni ex post.</w:t>
            </w:r>
          </w:p>
        </w:tc>
        <w:tc>
          <w:tcPr>
            <w:tcW w:w="7629" w:type="dxa"/>
          </w:tcPr>
          <w:p w:rsidR="00F23C2A" w:rsidRPr="003A1B35" w:rsidRDefault="00F23C2A" w:rsidP="00F23C2A">
            <w:pPr>
              <w:spacing w:before="120" w:after="120"/>
              <w:jc w:val="both"/>
              <w:rPr>
                <w:rFonts w:ascii="Times New Roman" w:hAnsi="Times New Roman" w:cs="Times New Roman"/>
                <w:sz w:val="20"/>
                <w:szCs w:val="20"/>
              </w:rPr>
            </w:pPr>
          </w:p>
        </w:tc>
      </w:tr>
      <w:tr w:rsidR="004C4D13" w:rsidRPr="003A1B35" w:rsidTr="00234217">
        <w:tc>
          <w:tcPr>
            <w:tcW w:w="7628" w:type="dxa"/>
          </w:tcPr>
          <w:p w:rsidR="004C4D13" w:rsidRPr="003A1B35" w:rsidRDefault="004C4D13" w:rsidP="00234217">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114</w:t>
            </w:r>
          </w:p>
          <w:p w:rsidR="004C4D13" w:rsidRPr="003A1B35" w:rsidRDefault="004C4D13" w:rsidP="00234217">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Valutazione</w:t>
            </w:r>
          </w:p>
        </w:tc>
        <w:tc>
          <w:tcPr>
            <w:tcW w:w="7629" w:type="dxa"/>
          </w:tcPr>
          <w:p w:rsidR="004C4D13" w:rsidRPr="003A1B35" w:rsidRDefault="004C4D13" w:rsidP="00234217">
            <w:pPr>
              <w:spacing w:before="120" w:after="120"/>
              <w:rPr>
                <w:rFonts w:ascii="Times New Roman" w:hAnsi="Times New Roman" w:cs="Times New Roman"/>
                <w:b/>
                <w:i/>
                <w:sz w:val="20"/>
                <w:szCs w:val="20"/>
              </w:rPr>
            </w:pPr>
          </w:p>
        </w:tc>
      </w:tr>
      <w:tr w:rsidR="004C4D13" w:rsidRPr="003A1B35" w:rsidTr="00234217">
        <w:tc>
          <w:tcPr>
            <w:tcW w:w="7628" w:type="dxa"/>
          </w:tcPr>
          <w:p w:rsidR="004C4D13" w:rsidRPr="003A1B35" w:rsidRDefault="004C4D13" w:rsidP="00234217">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1. L'autorità di gestione o lo Stato membro preparano un piano di valutazione per uno o più programmi operativi. Il piano di valutazione viene presentato al comitato di sorveglianza al più tardi entro un anno dall'adozione del programma operativo.</w:t>
            </w:r>
          </w:p>
        </w:tc>
        <w:tc>
          <w:tcPr>
            <w:tcW w:w="7629" w:type="dxa"/>
          </w:tcPr>
          <w:p w:rsidR="004C4D13" w:rsidRPr="003A1B35" w:rsidRDefault="004C4D13" w:rsidP="00234217">
            <w:pPr>
              <w:spacing w:before="120" w:after="120"/>
              <w:jc w:val="both"/>
              <w:rPr>
                <w:rFonts w:ascii="Times New Roman" w:hAnsi="Times New Roman" w:cs="Times New Roman"/>
                <w:sz w:val="20"/>
                <w:szCs w:val="20"/>
              </w:rPr>
            </w:pPr>
          </w:p>
        </w:tc>
      </w:tr>
      <w:tr w:rsidR="004C4D13" w:rsidRPr="003A1B35" w:rsidTr="00234217">
        <w:tc>
          <w:tcPr>
            <w:tcW w:w="7628" w:type="dxa"/>
          </w:tcPr>
          <w:p w:rsidR="004C4D13" w:rsidRPr="003A1B35" w:rsidRDefault="004C4D13" w:rsidP="00234217">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2. Entro il 31 dicembre 2022 le autorità di gestione presentano alla Commissione, per ciascun programma operativo, una relazione che sintetizza le conclusioni delle valutazioni effettuate durante il periodo di programmazione e i risultati principali ottenuti dal programma operativo, fornendo commenti in merito alle informazioni riferite.</w:t>
            </w:r>
          </w:p>
        </w:tc>
        <w:tc>
          <w:tcPr>
            <w:tcW w:w="7629" w:type="dxa"/>
          </w:tcPr>
          <w:p w:rsidR="004C4D13" w:rsidRPr="003A1B35" w:rsidRDefault="004C4D13" w:rsidP="00234217">
            <w:pPr>
              <w:spacing w:before="120" w:after="120"/>
              <w:jc w:val="both"/>
              <w:rPr>
                <w:rFonts w:ascii="Times New Roman" w:hAnsi="Times New Roman" w:cs="Times New Roman"/>
                <w:sz w:val="20"/>
                <w:szCs w:val="20"/>
              </w:rPr>
            </w:pPr>
          </w:p>
        </w:tc>
      </w:tr>
      <w:tr w:rsidR="004C4D13" w:rsidRPr="003A1B35" w:rsidTr="00234217">
        <w:tc>
          <w:tcPr>
            <w:tcW w:w="7628" w:type="dxa"/>
          </w:tcPr>
          <w:p w:rsidR="004C4D13" w:rsidRPr="003A1B35" w:rsidRDefault="004C4D13" w:rsidP="00234217">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 xml:space="preserve">3. La Commissione effettua </w:t>
            </w:r>
            <w:proofErr w:type="spellStart"/>
            <w:r w:rsidRPr="003A1B35">
              <w:rPr>
                <w:rFonts w:ascii="Times New Roman" w:hAnsi="Times New Roman" w:cs="Times New Roman"/>
                <w:sz w:val="20"/>
                <w:szCs w:val="20"/>
              </w:rPr>
              <w:t>valutazioni</w:t>
            </w:r>
            <w:proofErr w:type="spellEnd"/>
            <w:r w:rsidRPr="003A1B35">
              <w:rPr>
                <w:rFonts w:ascii="Times New Roman" w:hAnsi="Times New Roman" w:cs="Times New Roman"/>
                <w:sz w:val="20"/>
                <w:szCs w:val="20"/>
              </w:rPr>
              <w:t xml:space="preserve"> ex post in stretta collaborazione con gli Stati membri e le autorità di gestione.</w:t>
            </w:r>
          </w:p>
        </w:tc>
        <w:tc>
          <w:tcPr>
            <w:tcW w:w="7629" w:type="dxa"/>
          </w:tcPr>
          <w:p w:rsidR="004C4D13" w:rsidRPr="003A1B35" w:rsidRDefault="004C4D13" w:rsidP="00234217">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Articolo 49</w:t>
            </w:r>
          </w:p>
          <w:p w:rsidR="004C4D13" w:rsidRPr="003A1B35" w:rsidRDefault="004C4D13" w:rsidP="00234217">
            <w:pPr>
              <w:spacing w:before="120" w:after="120"/>
              <w:rPr>
                <w:rFonts w:ascii="Times New Roman" w:hAnsi="Times New Roman" w:cs="Times New Roman"/>
                <w:b/>
                <w:i/>
                <w:sz w:val="20"/>
                <w:szCs w:val="20"/>
              </w:rPr>
            </w:pPr>
            <w:r w:rsidRPr="003A1B35">
              <w:rPr>
                <w:rFonts w:ascii="Times New Roman" w:hAnsi="Times New Roman" w:cs="Times New Roman"/>
                <w:b/>
                <w:i/>
                <w:sz w:val="20"/>
                <w:szCs w:val="20"/>
              </w:rPr>
              <w:t>Responsabilità della Commissione</w:t>
            </w:r>
          </w:p>
          <w:p w:rsidR="004C4D13" w:rsidRPr="003A1B35" w:rsidRDefault="004C4D13" w:rsidP="00234217">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t>3. Per ciascun obiettivo, la Commissione effettua una valutazione ex post in stretta collaborazione con lo Stato membro e con le autorità di gestione.</w:t>
            </w:r>
          </w:p>
        </w:tc>
      </w:tr>
      <w:tr w:rsidR="004C4D13" w:rsidRPr="003A1B35" w:rsidTr="00234217">
        <w:tc>
          <w:tcPr>
            <w:tcW w:w="7628" w:type="dxa"/>
          </w:tcPr>
          <w:p w:rsidR="004C4D13" w:rsidRPr="003A1B35" w:rsidRDefault="004C4D13" w:rsidP="00234217">
            <w:pPr>
              <w:spacing w:before="120" w:after="120"/>
              <w:jc w:val="both"/>
              <w:rPr>
                <w:rFonts w:ascii="Times New Roman" w:hAnsi="Times New Roman" w:cs="Times New Roman"/>
                <w:sz w:val="20"/>
                <w:szCs w:val="20"/>
              </w:rPr>
            </w:pPr>
            <w:r w:rsidRPr="003A1B35">
              <w:rPr>
                <w:rFonts w:ascii="Times New Roman" w:hAnsi="Times New Roman" w:cs="Times New Roman"/>
                <w:sz w:val="20"/>
                <w:szCs w:val="20"/>
              </w:rPr>
              <w:lastRenderedPageBreak/>
              <w:t>4. I paragrafi 1 e 2 del presente articolo non si applicano ai programmi dedicati di cui all'articolo 39, paragrafo 4, primo comma, lettera b).</w:t>
            </w:r>
          </w:p>
        </w:tc>
        <w:tc>
          <w:tcPr>
            <w:tcW w:w="7629" w:type="dxa"/>
          </w:tcPr>
          <w:p w:rsidR="004C4D13" w:rsidRPr="003A1B35" w:rsidRDefault="004C4D13" w:rsidP="00234217">
            <w:pPr>
              <w:spacing w:before="120" w:after="120"/>
              <w:jc w:val="both"/>
              <w:rPr>
                <w:rFonts w:ascii="Times New Roman" w:hAnsi="Times New Roman" w:cs="Times New Roman"/>
                <w:sz w:val="20"/>
                <w:szCs w:val="20"/>
              </w:rPr>
            </w:pPr>
          </w:p>
        </w:tc>
      </w:tr>
    </w:tbl>
    <w:p w:rsidR="001823F3" w:rsidRDefault="001823F3" w:rsidP="001823F3">
      <w:pPr>
        <w:pStyle w:val="Titolo6"/>
      </w:pPr>
    </w:p>
    <w:p w:rsidR="00133CCB" w:rsidRDefault="001823F3">
      <w:pPr>
        <w:sectPr w:rsidR="00133CCB" w:rsidSect="007A4183">
          <w:footerReference w:type="default" r:id="rId8"/>
          <w:pgSz w:w="16838" w:h="11906" w:orient="landscape"/>
          <w:pgMar w:top="567" w:right="567" w:bottom="567" w:left="720" w:header="709" w:footer="709" w:gutter="284"/>
          <w:cols w:space="708"/>
          <w:docGrid w:linePitch="360"/>
        </w:sectPr>
      </w:pPr>
      <w:r>
        <w:br w:type="page"/>
      </w:r>
    </w:p>
    <w:p w:rsidR="00133CCB" w:rsidRDefault="00133CCB"/>
    <w:p w:rsidR="00E72323" w:rsidRPr="00112CDA" w:rsidRDefault="00E72323" w:rsidP="00112CDA">
      <w:pPr>
        <w:pStyle w:val="Titolo6"/>
        <w:jc w:val="center"/>
      </w:pPr>
      <w:r w:rsidRPr="00112CDA">
        <w:rPr>
          <w:b/>
          <w:i w:val="0"/>
        </w:rPr>
        <w:t>PRIME RIFLESSIONI</w:t>
      </w:r>
    </w:p>
    <w:p w:rsidR="00E72323" w:rsidRPr="00112CDA" w:rsidRDefault="00E72323" w:rsidP="00112CDA">
      <w:pPr>
        <w:pStyle w:val="Titolo6"/>
        <w:jc w:val="center"/>
        <w:rPr>
          <w:b/>
        </w:rPr>
      </w:pPr>
    </w:p>
    <w:p w:rsidR="00112CDA" w:rsidRPr="00112CDA" w:rsidRDefault="00112CDA" w:rsidP="00112CDA">
      <w:pPr>
        <w:jc w:val="center"/>
        <w:rPr>
          <w:rFonts w:ascii="Times New Roman" w:hAnsi="Times New Roman" w:cs="Times New Roman"/>
          <w:b/>
          <w:i/>
          <w:lang w:eastAsia="it-IT"/>
        </w:rPr>
      </w:pPr>
      <w:r w:rsidRPr="00112CDA">
        <w:rPr>
          <w:rFonts w:ascii="Times New Roman" w:hAnsi="Times New Roman" w:cs="Times New Roman"/>
          <w:b/>
          <w:i/>
          <w:lang w:eastAsia="it-IT"/>
        </w:rPr>
        <w:t>Monitoraggio e valutazione</w:t>
      </w:r>
    </w:p>
    <w:p w:rsidR="00133CCB" w:rsidRPr="00112CDA" w:rsidRDefault="00133CCB" w:rsidP="00133CCB">
      <w:pPr>
        <w:pStyle w:val="Titolo6"/>
        <w:jc w:val="center"/>
        <w:rPr>
          <w:b/>
          <w:bCs/>
          <w:i w:val="0"/>
          <w:iCs w:val="0"/>
          <w:sz w:val="22"/>
          <w:szCs w:val="22"/>
        </w:rPr>
      </w:pPr>
      <w:r w:rsidRPr="00112CDA">
        <w:rPr>
          <w:b/>
          <w:bCs/>
          <w:i w:val="0"/>
          <w:iCs w:val="0"/>
          <w:sz w:val="22"/>
          <w:szCs w:val="22"/>
        </w:rPr>
        <w:t>Sorveglianza</w:t>
      </w:r>
    </w:p>
    <w:p w:rsidR="00133CCB" w:rsidRPr="00112CDA" w:rsidRDefault="00C63741" w:rsidP="00133CCB">
      <w:pPr>
        <w:jc w:val="center"/>
        <w:rPr>
          <w:rFonts w:ascii="Times New Roman" w:hAnsi="Times New Roman" w:cs="Times New Roman"/>
          <w:i/>
        </w:rPr>
      </w:pPr>
      <w:r>
        <w:rPr>
          <w:rFonts w:ascii="Times New Roman" w:hAnsi="Times New Roman" w:cs="Times New Roman"/>
          <w:i/>
        </w:rPr>
        <w:t>[</w:t>
      </w:r>
      <w:proofErr w:type="gramStart"/>
      <w:r>
        <w:rPr>
          <w:rFonts w:ascii="Times New Roman" w:hAnsi="Times New Roman" w:cs="Times New Roman"/>
          <w:i/>
        </w:rPr>
        <w:t>a</w:t>
      </w:r>
      <w:r w:rsidR="00133CCB" w:rsidRPr="00112CDA">
        <w:rPr>
          <w:rFonts w:ascii="Times New Roman" w:hAnsi="Times New Roman" w:cs="Times New Roman"/>
          <w:i/>
        </w:rPr>
        <w:t>rticoli</w:t>
      </w:r>
      <w:proofErr w:type="gramEnd"/>
      <w:r w:rsidR="00133CCB" w:rsidRPr="00112CDA">
        <w:rPr>
          <w:rFonts w:ascii="Times New Roman" w:hAnsi="Times New Roman" w:cs="Times New Roman"/>
          <w:i/>
        </w:rPr>
        <w:t xml:space="preserve"> 47-49 e 110</w:t>
      </w:r>
      <w:r>
        <w:rPr>
          <w:rFonts w:ascii="Times New Roman" w:hAnsi="Times New Roman" w:cs="Times New Roman"/>
          <w:i/>
        </w:rPr>
        <w:t xml:space="preserve"> Regolamento Disposizioni Comuni]</w:t>
      </w:r>
    </w:p>
    <w:p w:rsidR="00133CCB" w:rsidRPr="00112CDA" w:rsidRDefault="00133CCB" w:rsidP="00133CCB">
      <w:pPr>
        <w:jc w:val="both"/>
        <w:rPr>
          <w:rFonts w:ascii="Times New Roman" w:hAnsi="Times New Roman" w:cs="Times New Roman"/>
          <w:i/>
        </w:rPr>
      </w:pPr>
      <w:r w:rsidRPr="00112CDA">
        <w:rPr>
          <w:rFonts w:ascii="Times New Roman" w:hAnsi="Times New Roman" w:cs="Times New Roman"/>
        </w:rPr>
        <w:t xml:space="preserve">La trattazione degli aspetti legati alla fase di sorveglianza dei programmi operativi non risulta sostanzialmente diversa rispetto alle modalità già adottate nella programmazione 2007-2013. La lettura del Regolamento evidenzia tuttavia alcuni elementi di novità, sui quali si porrà l’accento nel prosieguo del testo. </w:t>
      </w:r>
    </w:p>
    <w:p w:rsidR="00133CCB" w:rsidRPr="00BF4B33" w:rsidRDefault="00133CCB" w:rsidP="00133CCB">
      <w:pPr>
        <w:jc w:val="both"/>
        <w:rPr>
          <w:rFonts w:ascii="Times New Roman" w:hAnsi="Times New Roman" w:cs="Times New Roman"/>
        </w:rPr>
      </w:pPr>
      <w:r w:rsidRPr="00112CDA">
        <w:rPr>
          <w:rFonts w:ascii="Times New Roman" w:hAnsi="Times New Roman" w:cs="Times New Roman"/>
        </w:rPr>
        <w:t>In analogia con la programmazione corrente anche per</w:t>
      </w:r>
      <w:r w:rsidRPr="00BF4B33">
        <w:rPr>
          <w:rFonts w:ascii="Times New Roman" w:hAnsi="Times New Roman" w:cs="Times New Roman"/>
        </w:rPr>
        <w:t xml:space="preserve"> il 2014- 2020 lo Stato Membro/</w:t>
      </w:r>
      <w:proofErr w:type="spellStart"/>
      <w:r w:rsidRPr="00BF4B33">
        <w:rPr>
          <w:rFonts w:ascii="Times New Roman" w:hAnsi="Times New Roman" w:cs="Times New Roman"/>
        </w:rPr>
        <w:t>AdG</w:t>
      </w:r>
      <w:proofErr w:type="spellEnd"/>
      <w:r w:rsidRPr="00BF4B33">
        <w:rPr>
          <w:rFonts w:ascii="Times New Roman" w:hAnsi="Times New Roman" w:cs="Times New Roman"/>
        </w:rPr>
        <w:t xml:space="preserve"> dovrà </w:t>
      </w:r>
      <w:r w:rsidRPr="00787B03">
        <w:rPr>
          <w:rFonts w:ascii="Times New Roman" w:hAnsi="Times New Roman" w:cs="Times New Roman"/>
        </w:rPr>
        <w:t>istituire</w:t>
      </w:r>
      <w:r w:rsidRPr="00BF4B33">
        <w:rPr>
          <w:rFonts w:ascii="Times New Roman" w:hAnsi="Times New Roman" w:cs="Times New Roman"/>
        </w:rPr>
        <w:t xml:space="preserve">, </w:t>
      </w:r>
      <w:r w:rsidRPr="00787B03">
        <w:rPr>
          <w:rFonts w:ascii="Times New Roman" w:hAnsi="Times New Roman" w:cs="Times New Roman"/>
          <w:b/>
        </w:rPr>
        <w:t>entro tre mesi dalla decisione della Commissione di adozione di un Programma</w:t>
      </w:r>
      <w:r w:rsidRPr="00BF4B33">
        <w:rPr>
          <w:rFonts w:ascii="Times New Roman" w:hAnsi="Times New Roman" w:cs="Times New Roman"/>
          <w:b/>
        </w:rPr>
        <w:t xml:space="preserve">, </w:t>
      </w:r>
      <w:r w:rsidRPr="00BF4B33">
        <w:rPr>
          <w:rFonts w:ascii="Times New Roman" w:hAnsi="Times New Roman" w:cs="Times New Roman"/>
        </w:rPr>
        <w:t xml:space="preserve">un apposito </w:t>
      </w:r>
      <w:r w:rsidRPr="00787B03">
        <w:rPr>
          <w:rFonts w:ascii="Times New Roman" w:hAnsi="Times New Roman" w:cs="Times New Roman"/>
          <w:b/>
        </w:rPr>
        <w:t>comitato per sorvegliare sull’attuazione del PO</w:t>
      </w:r>
      <w:r w:rsidRPr="00BF4B33">
        <w:rPr>
          <w:rFonts w:ascii="Times New Roman" w:hAnsi="Times New Roman" w:cs="Times New Roman"/>
        </w:rPr>
        <w:t xml:space="preserve"> (Comitato di Sorveglianza). Risulta confermata, altresì, la possibilità di istituire </w:t>
      </w:r>
      <w:r w:rsidRPr="00787B03">
        <w:rPr>
          <w:rFonts w:ascii="Times New Roman" w:hAnsi="Times New Roman" w:cs="Times New Roman"/>
        </w:rPr>
        <w:t>un unico comitato di sorveglianza per coprire più di un programma operativo cofinanziato</w:t>
      </w:r>
      <w:r w:rsidRPr="00BF4B33">
        <w:rPr>
          <w:rFonts w:ascii="Times New Roman" w:hAnsi="Times New Roman" w:cs="Times New Roman"/>
        </w:rPr>
        <w:t xml:space="preserve"> dai Fondi SIE.  </w:t>
      </w:r>
    </w:p>
    <w:p w:rsidR="00133CCB" w:rsidRPr="00BF4B33" w:rsidRDefault="00133CCB" w:rsidP="00133CCB">
      <w:pPr>
        <w:jc w:val="both"/>
        <w:rPr>
          <w:rFonts w:ascii="Times New Roman" w:hAnsi="Times New Roman" w:cs="Times New Roman"/>
        </w:rPr>
      </w:pPr>
      <w:r w:rsidRPr="00BF4B33">
        <w:rPr>
          <w:rFonts w:ascii="Times New Roman" w:hAnsi="Times New Roman" w:cs="Times New Roman"/>
        </w:rPr>
        <w:t>Il Comitato di Sorveglianza (</w:t>
      </w:r>
      <w:proofErr w:type="spellStart"/>
      <w:r w:rsidRPr="00BF4B33">
        <w:rPr>
          <w:rFonts w:ascii="Times New Roman" w:hAnsi="Times New Roman" w:cs="Times New Roman"/>
        </w:rPr>
        <w:t>CdS</w:t>
      </w:r>
      <w:proofErr w:type="spellEnd"/>
      <w:r w:rsidRPr="00BF4B33">
        <w:rPr>
          <w:rFonts w:ascii="Times New Roman" w:hAnsi="Times New Roman" w:cs="Times New Roman"/>
        </w:rPr>
        <w:t xml:space="preserve">) dovrà, in linea con quanto previsto per l’attuale </w:t>
      </w:r>
      <w:r w:rsidR="004055DD" w:rsidRPr="00BF4B33">
        <w:rPr>
          <w:rFonts w:ascii="Times New Roman" w:hAnsi="Times New Roman" w:cs="Times New Roman"/>
        </w:rPr>
        <w:t>pe</w:t>
      </w:r>
      <w:r w:rsidR="004055DD">
        <w:rPr>
          <w:rFonts w:ascii="Times New Roman" w:hAnsi="Times New Roman" w:cs="Times New Roman"/>
        </w:rPr>
        <w:t>riodo</w:t>
      </w:r>
      <w:r w:rsidRPr="00BF4B33">
        <w:rPr>
          <w:rFonts w:ascii="Times New Roman" w:hAnsi="Times New Roman" w:cs="Times New Roman"/>
        </w:rPr>
        <w:t xml:space="preserve">, </w:t>
      </w:r>
      <w:r w:rsidRPr="00787B03">
        <w:rPr>
          <w:rFonts w:ascii="Times New Roman" w:hAnsi="Times New Roman" w:cs="Times New Roman"/>
        </w:rPr>
        <w:t>definire ed adottare</w:t>
      </w:r>
      <w:r w:rsidRPr="00BF4B33">
        <w:rPr>
          <w:rFonts w:ascii="Times New Roman" w:hAnsi="Times New Roman" w:cs="Times New Roman"/>
          <w:b/>
        </w:rPr>
        <w:t xml:space="preserve"> </w:t>
      </w:r>
      <w:r w:rsidRPr="00BF4B33">
        <w:rPr>
          <w:rFonts w:ascii="Times New Roman" w:hAnsi="Times New Roman" w:cs="Times New Roman"/>
        </w:rPr>
        <w:t>un proprio</w:t>
      </w:r>
      <w:r w:rsidRPr="00BF4B33">
        <w:rPr>
          <w:rFonts w:ascii="Times New Roman" w:hAnsi="Times New Roman" w:cs="Times New Roman"/>
          <w:b/>
        </w:rPr>
        <w:t xml:space="preserve"> regolamento</w:t>
      </w:r>
      <w:r w:rsidRPr="00BF4B33">
        <w:rPr>
          <w:rFonts w:ascii="Times New Roman" w:hAnsi="Times New Roman" w:cs="Times New Roman"/>
        </w:rPr>
        <w:t xml:space="preserve"> </w:t>
      </w:r>
      <w:r w:rsidRPr="00BF4B33">
        <w:rPr>
          <w:rFonts w:ascii="Times New Roman" w:hAnsi="Times New Roman" w:cs="Times New Roman"/>
          <w:b/>
        </w:rPr>
        <w:t>interno</w:t>
      </w:r>
      <w:r w:rsidRPr="00BF4B33">
        <w:rPr>
          <w:rFonts w:ascii="Times New Roman" w:hAnsi="Times New Roman" w:cs="Times New Roman"/>
        </w:rPr>
        <w:t xml:space="preserve"> che disciplini l’esercizio dei suoi compiti. </w:t>
      </w:r>
    </w:p>
    <w:p w:rsidR="00133CCB" w:rsidRPr="00BF4B33" w:rsidRDefault="00133CCB" w:rsidP="00133CCB">
      <w:pPr>
        <w:jc w:val="both"/>
        <w:rPr>
          <w:rFonts w:ascii="Times New Roman" w:hAnsi="Times New Roman" w:cs="Times New Roman"/>
        </w:rPr>
      </w:pPr>
      <w:r w:rsidRPr="00BF4B33">
        <w:rPr>
          <w:rFonts w:ascii="Times New Roman" w:hAnsi="Times New Roman" w:cs="Times New Roman"/>
        </w:rPr>
        <w:t xml:space="preserve">Il </w:t>
      </w:r>
      <w:proofErr w:type="spellStart"/>
      <w:r w:rsidRPr="00BF4B33">
        <w:rPr>
          <w:rFonts w:ascii="Times New Roman" w:hAnsi="Times New Roman" w:cs="Times New Roman"/>
        </w:rPr>
        <w:t>CdS</w:t>
      </w:r>
      <w:proofErr w:type="spellEnd"/>
      <w:r w:rsidRPr="00BF4B33">
        <w:rPr>
          <w:rFonts w:ascii="Times New Roman" w:hAnsi="Times New Roman" w:cs="Times New Roman"/>
        </w:rPr>
        <w:t xml:space="preserve"> sarà presieduto da un rappresentate dello SM o dell’</w:t>
      </w:r>
      <w:proofErr w:type="spellStart"/>
      <w:r w:rsidRPr="00BF4B33">
        <w:rPr>
          <w:rFonts w:ascii="Times New Roman" w:hAnsi="Times New Roman" w:cs="Times New Roman"/>
        </w:rPr>
        <w:t>AdG</w:t>
      </w:r>
      <w:proofErr w:type="spellEnd"/>
      <w:r w:rsidRPr="00BF4B33">
        <w:rPr>
          <w:rFonts w:ascii="Times New Roman" w:hAnsi="Times New Roman" w:cs="Times New Roman"/>
        </w:rPr>
        <w:t xml:space="preserve"> e </w:t>
      </w:r>
      <w:r w:rsidRPr="00787B03">
        <w:rPr>
          <w:rFonts w:ascii="Times New Roman" w:hAnsi="Times New Roman" w:cs="Times New Roman"/>
        </w:rPr>
        <w:t xml:space="preserve">la sua </w:t>
      </w:r>
      <w:r w:rsidRPr="00787B03">
        <w:rPr>
          <w:rFonts w:ascii="Times New Roman" w:hAnsi="Times New Roman" w:cs="Times New Roman"/>
          <w:b/>
        </w:rPr>
        <w:t>composizione</w:t>
      </w:r>
      <w:r w:rsidRPr="00BF4B33">
        <w:rPr>
          <w:rFonts w:ascii="Times New Roman" w:hAnsi="Times New Roman" w:cs="Times New Roman"/>
        </w:rPr>
        <w:t xml:space="preserve"> sarà decisa dallo SM/</w:t>
      </w:r>
      <w:proofErr w:type="spellStart"/>
      <w:r w:rsidRPr="00BF4B33">
        <w:rPr>
          <w:rFonts w:ascii="Times New Roman" w:hAnsi="Times New Roman" w:cs="Times New Roman"/>
        </w:rPr>
        <w:t>AdG</w:t>
      </w:r>
      <w:proofErr w:type="spellEnd"/>
      <w:r w:rsidRPr="00BF4B33">
        <w:rPr>
          <w:rFonts w:ascii="Times New Roman" w:hAnsi="Times New Roman" w:cs="Times New Roman"/>
        </w:rPr>
        <w:t xml:space="preserve">. </w:t>
      </w:r>
      <w:r w:rsidR="00DA1B9A">
        <w:rPr>
          <w:rFonts w:ascii="Times New Roman" w:hAnsi="Times New Roman" w:cs="Times New Roman"/>
        </w:rPr>
        <w:t>I</w:t>
      </w:r>
      <w:r w:rsidRPr="00787B03">
        <w:rPr>
          <w:rFonts w:ascii="Times New Roman" w:hAnsi="Times New Roman" w:cs="Times New Roman"/>
        </w:rPr>
        <w:t xml:space="preserve">l nuovo Regolamento </w:t>
      </w:r>
      <w:r w:rsidR="00FC02F7">
        <w:rPr>
          <w:rFonts w:ascii="Times New Roman" w:hAnsi="Times New Roman" w:cs="Times New Roman"/>
        </w:rPr>
        <w:t>disposizioni comuni</w:t>
      </w:r>
      <w:r w:rsidRPr="00787B03">
        <w:rPr>
          <w:rFonts w:ascii="Times New Roman" w:hAnsi="Times New Roman" w:cs="Times New Roman"/>
        </w:rPr>
        <w:t xml:space="preserve"> fissa dei </w:t>
      </w:r>
      <w:r w:rsidRPr="00787B03">
        <w:rPr>
          <w:rFonts w:ascii="Times New Roman" w:hAnsi="Times New Roman" w:cs="Times New Roman"/>
          <w:b/>
        </w:rPr>
        <w:t>criteri</w:t>
      </w:r>
      <w:r w:rsidRPr="00787B03">
        <w:rPr>
          <w:rFonts w:ascii="Times New Roman" w:hAnsi="Times New Roman" w:cs="Times New Roman"/>
        </w:rPr>
        <w:t xml:space="preserve"> a cui uniformarsi nel decidere la composizione del Comitato; in particolare lo stesso dovrà essere composto da rappresentanti delle autorità competenti degli Stati Membri, nonché dagli organismi intermedi e da rappresentanti dei partner di cui all’art. 5</w:t>
      </w:r>
      <w:r w:rsidR="00F26B45" w:rsidRPr="00787B03">
        <w:rPr>
          <w:rFonts w:ascii="Times New Roman" w:hAnsi="Times New Roman" w:cs="Times New Roman"/>
        </w:rPr>
        <w:t>,</w:t>
      </w:r>
      <w:r w:rsidRPr="00787B03">
        <w:rPr>
          <w:rFonts w:ascii="Times New Roman" w:hAnsi="Times New Roman" w:cs="Times New Roman"/>
        </w:rPr>
        <w:t xml:space="preserve"> opportunamente delegati sulla base di procedure trasparenti. Ciascun</w:t>
      </w:r>
      <w:r w:rsidRPr="004A18BB">
        <w:rPr>
          <w:rFonts w:ascii="Times New Roman" w:hAnsi="Times New Roman" w:cs="Times New Roman"/>
        </w:rPr>
        <w:t xml:space="preserve"> membro</w:t>
      </w:r>
      <w:r w:rsidRPr="00BF4B33">
        <w:rPr>
          <w:rFonts w:ascii="Times New Roman" w:hAnsi="Times New Roman" w:cs="Times New Roman"/>
        </w:rPr>
        <w:t xml:space="preserve"> del Comitato potrà avere inoltre </w:t>
      </w:r>
      <w:r w:rsidRPr="004A18BB">
        <w:rPr>
          <w:rFonts w:ascii="Times New Roman" w:hAnsi="Times New Roman" w:cs="Times New Roman"/>
        </w:rPr>
        <w:t>diritto di voto</w:t>
      </w:r>
      <w:r w:rsidRPr="00BF4B33">
        <w:rPr>
          <w:rFonts w:ascii="Times New Roman" w:hAnsi="Times New Roman" w:cs="Times New Roman"/>
        </w:rPr>
        <w:t xml:space="preserve">. </w:t>
      </w:r>
      <w:r w:rsidR="00C92325">
        <w:rPr>
          <w:rFonts w:ascii="Times New Roman" w:hAnsi="Times New Roman" w:cs="Times New Roman"/>
        </w:rPr>
        <w:t xml:space="preserve">L’ampliamento della composizione del </w:t>
      </w:r>
      <w:proofErr w:type="spellStart"/>
      <w:r w:rsidR="00C92325">
        <w:rPr>
          <w:rFonts w:ascii="Times New Roman" w:hAnsi="Times New Roman" w:cs="Times New Roman"/>
        </w:rPr>
        <w:t>CdS</w:t>
      </w:r>
      <w:proofErr w:type="spellEnd"/>
      <w:r w:rsidR="00C92325">
        <w:rPr>
          <w:rFonts w:ascii="Times New Roman" w:hAnsi="Times New Roman" w:cs="Times New Roman"/>
        </w:rPr>
        <w:t>, allargandola al partenariato,</w:t>
      </w:r>
      <w:r w:rsidRPr="00BF4B33">
        <w:rPr>
          <w:rFonts w:ascii="Times New Roman" w:hAnsi="Times New Roman" w:cs="Times New Roman"/>
        </w:rPr>
        <w:t xml:space="preserve"> sebbene si prospetti come una novità dal punto di vista del dettato regolamentare, sul piano sostanziale interviene a sancire</w:t>
      </w:r>
      <w:r w:rsidR="00DA1B9A">
        <w:rPr>
          <w:rFonts w:ascii="Times New Roman" w:hAnsi="Times New Roman" w:cs="Times New Roman"/>
        </w:rPr>
        <w:t xml:space="preserve"> una prassi consolidata</w:t>
      </w:r>
      <w:r w:rsidRPr="00BF4B33">
        <w:rPr>
          <w:rFonts w:ascii="Times New Roman" w:hAnsi="Times New Roman" w:cs="Times New Roman"/>
        </w:rPr>
        <w:t xml:space="preserve">. </w:t>
      </w:r>
    </w:p>
    <w:p w:rsidR="00133CCB" w:rsidRPr="00787B03" w:rsidRDefault="00133CCB" w:rsidP="00133CCB">
      <w:pPr>
        <w:jc w:val="both"/>
        <w:rPr>
          <w:rFonts w:ascii="Times New Roman" w:hAnsi="Times New Roman" w:cs="Times New Roman"/>
        </w:rPr>
      </w:pPr>
      <w:r w:rsidRPr="00787B03">
        <w:rPr>
          <w:rFonts w:ascii="Times New Roman" w:hAnsi="Times New Roman" w:cs="Times New Roman"/>
        </w:rPr>
        <w:t xml:space="preserve">Un’ ulteriore novità è rappresentata dall’obbligo (fissato dal comma 2 dell’art. 48) di rendere </w:t>
      </w:r>
      <w:r w:rsidRPr="00787B03">
        <w:rPr>
          <w:rFonts w:ascii="Times New Roman" w:hAnsi="Times New Roman" w:cs="Times New Roman"/>
          <w:b/>
        </w:rPr>
        <w:t>pubblico l’elenco dei membri</w:t>
      </w:r>
      <w:r w:rsidRPr="00787B03">
        <w:rPr>
          <w:rFonts w:ascii="Times New Roman" w:hAnsi="Times New Roman" w:cs="Times New Roman"/>
        </w:rPr>
        <w:t xml:space="preserve"> del Comitato di Sorveglianza, in ottemperanza ai principi di trasparenza che sembrano caratterizzare la futura programmazione dei Fondi. </w:t>
      </w:r>
    </w:p>
    <w:p w:rsidR="00133CCB" w:rsidRPr="00787B03" w:rsidRDefault="00133CCB" w:rsidP="00133CCB">
      <w:pPr>
        <w:jc w:val="both"/>
        <w:rPr>
          <w:rFonts w:ascii="Times New Roman" w:hAnsi="Times New Roman" w:cs="Times New Roman"/>
        </w:rPr>
      </w:pPr>
      <w:r w:rsidRPr="00787B03">
        <w:rPr>
          <w:rFonts w:ascii="Times New Roman" w:hAnsi="Times New Roman" w:cs="Times New Roman"/>
        </w:rPr>
        <w:t xml:space="preserve">In continuità con la programmazione 2007-2013 la Commissione Europea e la BEI, qualora fornisca un contributo al programma, potranno partecipare ai lavori del </w:t>
      </w:r>
      <w:proofErr w:type="spellStart"/>
      <w:r w:rsidRPr="00787B03">
        <w:rPr>
          <w:rFonts w:ascii="Times New Roman" w:hAnsi="Times New Roman" w:cs="Times New Roman"/>
        </w:rPr>
        <w:t>CdS</w:t>
      </w:r>
      <w:proofErr w:type="spellEnd"/>
      <w:r w:rsidRPr="00787B03">
        <w:rPr>
          <w:rFonts w:ascii="Times New Roman" w:hAnsi="Times New Roman" w:cs="Times New Roman"/>
        </w:rPr>
        <w:t xml:space="preserve"> a titolo consultivo, mentre non è più prevista la possibilità di partecipazione per il FEI. </w:t>
      </w:r>
    </w:p>
    <w:p w:rsidR="00133CCB" w:rsidRPr="00BF4B33" w:rsidRDefault="00133CCB" w:rsidP="00133CCB">
      <w:pPr>
        <w:spacing w:after="0" w:line="240" w:lineRule="auto"/>
        <w:jc w:val="both"/>
        <w:rPr>
          <w:rFonts w:ascii="Times New Roman" w:hAnsi="Times New Roman" w:cs="Times New Roman"/>
        </w:rPr>
      </w:pPr>
      <w:r w:rsidRPr="00BF4B33">
        <w:rPr>
          <w:rFonts w:ascii="Times New Roman" w:hAnsi="Times New Roman" w:cs="Times New Roman"/>
        </w:rPr>
        <w:t xml:space="preserve">Sotto il profilo delle </w:t>
      </w:r>
      <w:r w:rsidRPr="00794295">
        <w:rPr>
          <w:rFonts w:ascii="Times New Roman" w:hAnsi="Times New Roman" w:cs="Times New Roman"/>
          <w:b/>
        </w:rPr>
        <w:t>funzioni</w:t>
      </w:r>
      <w:r w:rsidRPr="00BF4B33">
        <w:rPr>
          <w:rFonts w:ascii="Times New Roman" w:hAnsi="Times New Roman" w:cs="Times New Roman"/>
        </w:rPr>
        <w:t xml:space="preserve"> il Comitato</w:t>
      </w:r>
      <w:r w:rsidR="00DA1B9A">
        <w:rPr>
          <w:rFonts w:ascii="Times New Roman" w:hAnsi="Times New Roman" w:cs="Times New Roman"/>
        </w:rPr>
        <w:t>,</w:t>
      </w:r>
      <w:r w:rsidRPr="00BF4B33">
        <w:rPr>
          <w:rFonts w:ascii="Times New Roman" w:hAnsi="Times New Roman" w:cs="Times New Roman"/>
        </w:rPr>
        <w:t xml:space="preserve"> </w:t>
      </w:r>
      <w:r w:rsidRPr="00BF4B33">
        <w:rPr>
          <w:rFonts w:ascii="Times New Roman" w:hAnsi="Times New Roman" w:cs="Times New Roman"/>
          <w:b/>
        </w:rPr>
        <w:t>riun</w:t>
      </w:r>
      <w:r w:rsidR="00DA1B9A">
        <w:rPr>
          <w:rFonts w:ascii="Times New Roman" w:hAnsi="Times New Roman" w:cs="Times New Roman"/>
          <w:b/>
        </w:rPr>
        <w:t>endosi</w:t>
      </w:r>
      <w:r w:rsidRPr="00BF4B33">
        <w:rPr>
          <w:rFonts w:ascii="Times New Roman" w:hAnsi="Times New Roman" w:cs="Times New Roman"/>
          <w:b/>
        </w:rPr>
        <w:t xml:space="preserve"> almeno una volta all’anno</w:t>
      </w:r>
      <w:r w:rsidRPr="00BF4B33">
        <w:rPr>
          <w:rFonts w:ascii="Times New Roman" w:hAnsi="Times New Roman" w:cs="Times New Roman"/>
        </w:rPr>
        <w:t xml:space="preserve">, </w:t>
      </w:r>
      <w:r w:rsidR="00DA1B9A">
        <w:rPr>
          <w:rFonts w:ascii="Times New Roman" w:hAnsi="Times New Roman" w:cs="Times New Roman"/>
        </w:rPr>
        <w:t>dovrà</w:t>
      </w:r>
      <w:r w:rsidRPr="00BF4B33">
        <w:rPr>
          <w:rFonts w:ascii="Times New Roman" w:hAnsi="Times New Roman" w:cs="Times New Roman"/>
        </w:rPr>
        <w:t xml:space="preserve"> valutare l’attuazione del programma e i progressi compiuti nel conseguimento dei suoi obiettivi. Gli </w:t>
      </w:r>
      <w:r w:rsidRPr="00BF4B33">
        <w:rPr>
          <w:rFonts w:ascii="Times New Roman" w:hAnsi="Times New Roman" w:cs="Times New Roman"/>
          <w:b/>
          <w:bCs/>
        </w:rPr>
        <w:t>indicatori</w:t>
      </w:r>
      <w:r w:rsidRPr="00BF4B33">
        <w:rPr>
          <w:rFonts w:ascii="Times New Roman" w:hAnsi="Times New Roman" w:cs="Times New Roman"/>
        </w:rPr>
        <w:t xml:space="preserve"> da utilizzare per la sorveglianza saranno, come nel 2007-2013, </w:t>
      </w:r>
      <w:r w:rsidRPr="00BF4B33">
        <w:rPr>
          <w:rFonts w:ascii="Times New Roman" w:hAnsi="Times New Roman" w:cs="Times New Roman"/>
          <w:b/>
        </w:rPr>
        <w:t>quelli definiti nel programma</w:t>
      </w:r>
      <w:r w:rsidRPr="00BF4B33">
        <w:rPr>
          <w:rFonts w:ascii="Times New Roman" w:hAnsi="Times New Roman" w:cs="Times New Roman"/>
        </w:rPr>
        <w:t xml:space="preserve"> (comuni e specifici) e i </w:t>
      </w:r>
      <w:r w:rsidRPr="00BF4B33">
        <w:rPr>
          <w:rFonts w:ascii="Times New Roman" w:hAnsi="Times New Roman" w:cs="Times New Roman"/>
          <w:b/>
        </w:rPr>
        <w:t>dati finanziari</w:t>
      </w:r>
      <w:r w:rsidRPr="00BF4B33">
        <w:rPr>
          <w:rFonts w:ascii="Times New Roman" w:hAnsi="Times New Roman" w:cs="Times New Roman"/>
        </w:rPr>
        <w:t xml:space="preserve">. </w:t>
      </w:r>
    </w:p>
    <w:p w:rsidR="00133CCB" w:rsidRPr="00794295" w:rsidRDefault="00133CCB" w:rsidP="00133CCB">
      <w:pPr>
        <w:spacing w:after="0" w:line="240" w:lineRule="auto"/>
        <w:jc w:val="both"/>
        <w:rPr>
          <w:rFonts w:ascii="Times New Roman" w:hAnsi="Times New Roman" w:cs="Times New Roman"/>
        </w:rPr>
      </w:pPr>
      <w:r w:rsidRPr="00BF4B33">
        <w:rPr>
          <w:rFonts w:ascii="Times New Roman" w:hAnsi="Times New Roman" w:cs="Times New Roman"/>
        </w:rPr>
        <w:t xml:space="preserve">Nel 2014-2020 il </w:t>
      </w:r>
      <w:proofErr w:type="spellStart"/>
      <w:r w:rsidRPr="00BF4B33">
        <w:rPr>
          <w:rFonts w:ascii="Times New Roman" w:hAnsi="Times New Roman" w:cs="Times New Roman"/>
        </w:rPr>
        <w:t>CdS</w:t>
      </w:r>
      <w:proofErr w:type="spellEnd"/>
      <w:r w:rsidRPr="00BF4B33">
        <w:rPr>
          <w:rFonts w:ascii="Times New Roman" w:hAnsi="Times New Roman" w:cs="Times New Roman"/>
        </w:rPr>
        <w:t xml:space="preserve"> </w:t>
      </w:r>
      <w:r w:rsidRPr="00794295">
        <w:rPr>
          <w:rFonts w:ascii="Times New Roman" w:hAnsi="Times New Roman" w:cs="Times New Roman"/>
        </w:rPr>
        <w:t xml:space="preserve">dovrà, in aggiunta, </w:t>
      </w:r>
      <w:r w:rsidRPr="00794295">
        <w:rPr>
          <w:rFonts w:ascii="Times New Roman" w:hAnsi="Times New Roman" w:cs="Times New Roman"/>
          <w:b/>
        </w:rPr>
        <w:t xml:space="preserve">valutare i progressi </w:t>
      </w:r>
      <w:r w:rsidRPr="00794295">
        <w:rPr>
          <w:rFonts w:ascii="Times New Roman" w:hAnsi="Times New Roman" w:cs="Times New Roman"/>
        </w:rPr>
        <w:t>realizzati nel</w:t>
      </w:r>
      <w:r w:rsidRPr="00794295">
        <w:rPr>
          <w:rFonts w:ascii="Times New Roman" w:hAnsi="Times New Roman" w:cs="Times New Roman"/>
          <w:b/>
        </w:rPr>
        <w:t xml:space="preserve"> </w:t>
      </w:r>
      <w:r w:rsidRPr="00794295">
        <w:rPr>
          <w:rFonts w:ascii="Times New Roman" w:hAnsi="Times New Roman" w:cs="Times New Roman"/>
        </w:rPr>
        <w:t>raggiungimento dei</w:t>
      </w:r>
      <w:r w:rsidRPr="00794295">
        <w:rPr>
          <w:rFonts w:ascii="Times New Roman" w:hAnsi="Times New Roman" w:cs="Times New Roman"/>
          <w:b/>
        </w:rPr>
        <w:t xml:space="preserve"> target intermedi</w:t>
      </w:r>
      <w:r w:rsidRPr="00794295">
        <w:rPr>
          <w:rFonts w:ascii="Times New Roman" w:hAnsi="Times New Roman" w:cs="Times New Roman"/>
        </w:rPr>
        <w:t xml:space="preserve"> definiti nel quadro di riferimento dell’efficacia dell’attuazione (</w:t>
      </w:r>
      <w:r w:rsidRPr="00794295">
        <w:rPr>
          <w:rFonts w:ascii="Times New Roman" w:hAnsi="Times New Roman" w:cs="Times New Roman"/>
          <w:i/>
        </w:rPr>
        <w:t xml:space="preserve">performance </w:t>
      </w:r>
      <w:proofErr w:type="spellStart"/>
      <w:r w:rsidRPr="00794295">
        <w:rPr>
          <w:rFonts w:ascii="Times New Roman" w:hAnsi="Times New Roman" w:cs="Times New Roman"/>
          <w:i/>
        </w:rPr>
        <w:t>framework</w:t>
      </w:r>
      <w:proofErr w:type="spellEnd"/>
      <w:r w:rsidRPr="00794295">
        <w:rPr>
          <w:rFonts w:ascii="Times New Roman" w:hAnsi="Times New Roman" w:cs="Times New Roman"/>
        </w:rPr>
        <w:t xml:space="preserve">) ed </w:t>
      </w:r>
      <w:r w:rsidRPr="00794295">
        <w:rPr>
          <w:rFonts w:ascii="Times New Roman" w:hAnsi="Times New Roman" w:cs="Times New Roman"/>
          <w:b/>
        </w:rPr>
        <w:t>esaminare le conclusioni delle verifiche di efficacia dell’attuazione</w:t>
      </w:r>
      <w:r w:rsidRPr="00794295">
        <w:rPr>
          <w:rFonts w:ascii="Times New Roman" w:hAnsi="Times New Roman" w:cs="Times New Roman"/>
        </w:rPr>
        <w:t xml:space="preserve">, in quanto suscettibili di impattare sui risultati del programma. </w:t>
      </w:r>
    </w:p>
    <w:p w:rsidR="00133CCB" w:rsidRPr="00794295" w:rsidRDefault="00133CCB" w:rsidP="00133CCB">
      <w:pPr>
        <w:spacing w:after="0" w:line="240" w:lineRule="auto"/>
        <w:jc w:val="both"/>
        <w:rPr>
          <w:rFonts w:ascii="Times New Roman" w:hAnsi="Times New Roman" w:cs="Times New Roman"/>
        </w:rPr>
      </w:pPr>
      <w:r w:rsidRPr="00794295">
        <w:rPr>
          <w:rFonts w:ascii="Times New Roman" w:hAnsi="Times New Roman" w:cs="Times New Roman"/>
        </w:rPr>
        <w:t>In merito all’attuazione del programma e alla sua valutazione</w:t>
      </w:r>
      <w:r w:rsidR="00DA1B9A">
        <w:rPr>
          <w:rFonts w:ascii="Times New Roman" w:hAnsi="Times New Roman" w:cs="Times New Roman"/>
        </w:rPr>
        <w:t>,</w:t>
      </w:r>
      <w:r w:rsidRPr="00794295">
        <w:rPr>
          <w:rFonts w:ascii="Times New Roman" w:hAnsi="Times New Roman" w:cs="Times New Roman"/>
        </w:rPr>
        <w:t xml:space="preserve"> il </w:t>
      </w:r>
      <w:proofErr w:type="spellStart"/>
      <w:r w:rsidRPr="00794295">
        <w:rPr>
          <w:rFonts w:ascii="Times New Roman" w:hAnsi="Times New Roman" w:cs="Times New Roman"/>
        </w:rPr>
        <w:t>CdS</w:t>
      </w:r>
      <w:proofErr w:type="spellEnd"/>
      <w:r w:rsidRPr="00794295">
        <w:rPr>
          <w:rFonts w:ascii="Times New Roman" w:hAnsi="Times New Roman" w:cs="Times New Roman"/>
        </w:rPr>
        <w:t xml:space="preserve"> potrà in ogni caso semplicemente </w:t>
      </w:r>
      <w:r w:rsidRPr="00794295">
        <w:rPr>
          <w:rFonts w:ascii="Times New Roman" w:hAnsi="Times New Roman" w:cs="Times New Roman"/>
          <w:b/>
        </w:rPr>
        <w:t xml:space="preserve">formulare osservazioni, </w:t>
      </w:r>
      <w:r w:rsidRPr="00794295">
        <w:rPr>
          <w:rFonts w:ascii="Times New Roman" w:hAnsi="Times New Roman" w:cs="Times New Roman"/>
        </w:rPr>
        <w:t>e non già fornire raccomandazioni come previsto nella proposta iniziale di Regolamento della CE.  Potrà inoltre avanzare osservazioni all'autorità di gestione in merito alle azioni relative alla riduzione degli oneri amministrativi a carico dei beneficiari e verificare le azioni intraprese a seguito delle stesse.</w:t>
      </w:r>
    </w:p>
    <w:p w:rsidR="00133CCB" w:rsidRPr="00794295" w:rsidRDefault="00133CCB" w:rsidP="00133CCB">
      <w:pPr>
        <w:spacing w:after="0" w:line="240" w:lineRule="auto"/>
        <w:jc w:val="both"/>
        <w:rPr>
          <w:rFonts w:ascii="Times New Roman" w:hAnsi="Times New Roman" w:cs="Times New Roman"/>
        </w:rPr>
      </w:pPr>
    </w:p>
    <w:p w:rsidR="00133CCB" w:rsidRPr="00BF4B33" w:rsidRDefault="00133CCB" w:rsidP="00133CCB">
      <w:pPr>
        <w:jc w:val="both"/>
        <w:rPr>
          <w:rFonts w:ascii="Times New Roman" w:hAnsi="Times New Roman" w:cs="Times New Roman"/>
        </w:rPr>
      </w:pPr>
      <w:r w:rsidRPr="00BF4B33">
        <w:rPr>
          <w:rFonts w:ascii="Times New Roman" w:hAnsi="Times New Roman" w:cs="Times New Roman"/>
        </w:rPr>
        <w:t xml:space="preserve">Tra i compiti del Comitato si conferma il ruolo </w:t>
      </w:r>
      <w:r w:rsidRPr="00BF4B33">
        <w:rPr>
          <w:rFonts w:ascii="Times New Roman" w:hAnsi="Times New Roman" w:cs="Times New Roman"/>
          <w:b/>
        </w:rPr>
        <w:t>nell’approvazione dei criteri di selezione</w:t>
      </w:r>
      <w:r w:rsidRPr="00BF4B33">
        <w:rPr>
          <w:rFonts w:ascii="Times New Roman" w:hAnsi="Times New Roman" w:cs="Times New Roman"/>
        </w:rPr>
        <w:t xml:space="preserve"> delle operazioni, sebbene con estensione dell’</w:t>
      </w:r>
      <w:r w:rsidRPr="00BF4B33">
        <w:rPr>
          <w:rFonts w:ascii="Times New Roman" w:hAnsi="Times New Roman" w:cs="Times New Roman"/>
          <w:b/>
        </w:rPr>
        <w:t xml:space="preserve">esame e dell’approvazione anche alla metodologia </w:t>
      </w:r>
      <w:r w:rsidRPr="00DA1B9A">
        <w:rPr>
          <w:rFonts w:ascii="Times New Roman" w:hAnsi="Times New Roman" w:cs="Times New Roman"/>
          <w:b/>
        </w:rPr>
        <w:t>utilizzata per l’individuazione di tali criteri</w:t>
      </w:r>
      <w:r w:rsidRPr="00BF4B33">
        <w:rPr>
          <w:rFonts w:ascii="Times New Roman" w:hAnsi="Times New Roman" w:cs="Times New Roman"/>
        </w:rPr>
        <w:t>; nonché nell’</w:t>
      </w:r>
      <w:r w:rsidRPr="00BF4B33">
        <w:rPr>
          <w:rFonts w:ascii="Times New Roman" w:hAnsi="Times New Roman" w:cs="Times New Roman"/>
          <w:b/>
        </w:rPr>
        <w:t>approvazione dei rapporti annuali e finali di esecuzione</w:t>
      </w:r>
      <w:r w:rsidRPr="00BF4B33">
        <w:rPr>
          <w:rFonts w:ascii="Times New Roman" w:hAnsi="Times New Roman" w:cs="Times New Roman"/>
        </w:rPr>
        <w:t xml:space="preserve">. </w:t>
      </w:r>
    </w:p>
    <w:p w:rsidR="00794295" w:rsidRPr="00794295" w:rsidRDefault="00133CCB" w:rsidP="00794295">
      <w:pPr>
        <w:spacing w:after="0"/>
        <w:jc w:val="both"/>
        <w:rPr>
          <w:rFonts w:ascii="Times New Roman" w:hAnsi="Times New Roman" w:cs="Times New Roman"/>
          <w:b/>
        </w:rPr>
      </w:pPr>
      <w:r w:rsidRPr="00BF4B33">
        <w:rPr>
          <w:rFonts w:ascii="Times New Roman" w:hAnsi="Times New Roman" w:cs="Times New Roman"/>
        </w:rPr>
        <w:t xml:space="preserve">Alcune differenze si riscontrano invece per quanto attiene alle prerogative del </w:t>
      </w:r>
      <w:proofErr w:type="spellStart"/>
      <w:r w:rsidRPr="00BF4B33">
        <w:rPr>
          <w:rFonts w:ascii="Times New Roman" w:hAnsi="Times New Roman" w:cs="Times New Roman"/>
        </w:rPr>
        <w:t>CdS</w:t>
      </w:r>
      <w:proofErr w:type="spellEnd"/>
      <w:r w:rsidRPr="00BF4B33">
        <w:rPr>
          <w:rFonts w:ascii="Times New Roman" w:hAnsi="Times New Roman" w:cs="Times New Roman"/>
        </w:rPr>
        <w:t xml:space="preserve"> in materia di </w:t>
      </w:r>
      <w:r w:rsidRPr="00794295">
        <w:rPr>
          <w:rFonts w:ascii="Times New Roman" w:hAnsi="Times New Roman" w:cs="Times New Roman"/>
          <w:b/>
        </w:rPr>
        <w:t xml:space="preserve">valutazione e informazione e pubblicità. </w:t>
      </w:r>
    </w:p>
    <w:p w:rsidR="003B56DD" w:rsidRDefault="00133CCB" w:rsidP="00794295">
      <w:pPr>
        <w:spacing w:after="0"/>
        <w:jc w:val="both"/>
        <w:rPr>
          <w:rFonts w:ascii="Times New Roman" w:hAnsi="Times New Roman" w:cs="Times New Roman"/>
        </w:rPr>
      </w:pPr>
      <w:r w:rsidRPr="00BF4B33">
        <w:rPr>
          <w:rFonts w:ascii="Times New Roman" w:hAnsi="Times New Roman" w:cs="Times New Roman"/>
        </w:rPr>
        <w:lastRenderedPageBreak/>
        <w:t xml:space="preserve">In base alle nuove disposizioni regolamentari (art. 110 c) </w:t>
      </w:r>
      <w:r w:rsidR="00FC02F7">
        <w:rPr>
          <w:rFonts w:ascii="Times New Roman" w:hAnsi="Times New Roman" w:cs="Times New Roman"/>
        </w:rPr>
        <w:t>Regolamento disposizioni comuni</w:t>
      </w:r>
      <w:r w:rsidRPr="00BF4B33">
        <w:rPr>
          <w:rFonts w:ascii="Times New Roman" w:hAnsi="Times New Roman" w:cs="Times New Roman"/>
        </w:rPr>
        <w:t xml:space="preserve">) il </w:t>
      </w:r>
      <w:r w:rsidRPr="00794295">
        <w:rPr>
          <w:rFonts w:ascii="Times New Roman" w:hAnsi="Times New Roman" w:cs="Times New Roman"/>
        </w:rPr>
        <w:t xml:space="preserve">Comitato di Sorveglianza sarà chiamato ad </w:t>
      </w:r>
      <w:r w:rsidRPr="00794295">
        <w:rPr>
          <w:rFonts w:ascii="Times New Roman" w:hAnsi="Times New Roman" w:cs="Times New Roman"/>
          <w:b/>
        </w:rPr>
        <w:t>esaminare e approvare il piano di valutazione</w:t>
      </w:r>
      <w:r w:rsidRPr="00794295">
        <w:rPr>
          <w:rFonts w:ascii="Times New Roman" w:hAnsi="Times New Roman" w:cs="Times New Roman"/>
        </w:rPr>
        <w:t xml:space="preserve"> del programma operativo ed eventuali modifiche dello stesso, anche quando è parte di un piano di valutazione comune; analoga previsione non si riscontra</w:t>
      </w:r>
      <w:r w:rsidRPr="00BF4B33">
        <w:rPr>
          <w:rFonts w:ascii="Times New Roman" w:hAnsi="Times New Roman" w:cs="Times New Roman"/>
        </w:rPr>
        <w:t xml:space="preserve"> invece nel Reg. 1083/2006. Ciono</w:t>
      </w:r>
      <w:r w:rsidR="00794295">
        <w:rPr>
          <w:rFonts w:ascii="Times New Roman" w:hAnsi="Times New Roman" w:cs="Times New Roman"/>
        </w:rPr>
        <w:t>no</w:t>
      </w:r>
      <w:r w:rsidRPr="00BF4B33">
        <w:rPr>
          <w:rFonts w:ascii="Times New Roman" w:hAnsi="Times New Roman" w:cs="Times New Roman"/>
        </w:rPr>
        <w:t>stante, anche alla luce degli indirizzi contenuti nelle linee guida nazionali</w:t>
      </w:r>
      <w:r w:rsidRPr="00BF4B33">
        <w:rPr>
          <w:rStyle w:val="Rimandonotaapidipagina"/>
          <w:rFonts w:ascii="Times New Roman" w:hAnsi="Times New Roman" w:cs="Times New Roman"/>
        </w:rPr>
        <w:footnoteReference w:id="1"/>
      </w:r>
      <w:r w:rsidRPr="00BF4B33">
        <w:rPr>
          <w:rFonts w:ascii="Times New Roman" w:hAnsi="Times New Roman" w:cs="Times New Roman"/>
        </w:rPr>
        <w:t xml:space="preserve">, nel 2007-2013 le Regioni hanno ritenuto comunque opportuna una presentazione dei Piani, così come delle modifiche agli stessi, ai Comitati di Sorveglianza, </w:t>
      </w:r>
      <w:r w:rsidR="00794295" w:rsidRPr="00BF4B33">
        <w:rPr>
          <w:rFonts w:ascii="Times New Roman" w:hAnsi="Times New Roman" w:cs="Times New Roman"/>
        </w:rPr>
        <w:t>affinché</w:t>
      </w:r>
      <w:r w:rsidRPr="00BF4B33">
        <w:rPr>
          <w:rFonts w:ascii="Times New Roman" w:hAnsi="Times New Roman" w:cs="Times New Roman"/>
        </w:rPr>
        <w:t xml:space="preserve"> potessero essere discussi in un contesto collettivo, in confronto con le parti sociali e istituzionali ed eventuali altri soggetti collettivi interessati. </w:t>
      </w:r>
    </w:p>
    <w:p w:rsidR="00133CCB" w:rsidRPr="00BF4B33" w:rsidRDefault="00133CCB" w:rsidP="00133CCB">
      <w:pPr>
        <w:jc w:val="both"/>
        <w:rPr>
          <w:rFonts w:ascii="Times New Roman" w:hAnsi="Times New Roman" w:cs="Times New Roman"/>
        </w:rPr>
      </w:pPr>
      <w:r w:rsidRPr="005D76C8">
        <w:rPr>
          <w:rFonts w:ascii="Times New Roman" w:hAnsi="Times New Roman" w:cs="Times New Roman"/>
        </w:rPr>
        <w:t xml:space="preserve">Il </w:t>
      </w:r>
      <w:proofErr w:type="spellStart"/>
      <w:r w:rsidRPr="005D76C8">
        <w:rPr>
          <w:rFonts w:ascii="Times New Roman" w:hAnsi="Times New Roman" w:cs="Times New Roman"/>
        </w:rPr>
        <w:t>CdS</w:t>
      </w:r>
      <w:proofErr w:type="spellEnd"/>
      <w:r w:rsidRPr="005D76C8">
        <w:rPr>
          <w:rFonts w:ascii="Times New Roman" w:hAnsi="Times New Roman" w:cs="Times New Roman"/>
        </w:rPr>
        <w:t xml:space="preserve"> dovrà</w:t>
      </w:r>
      <w:r w:rsidRPr="00BF4B33">
        <w:rPr>
          <w:rFonts w:ascii="Times New Roman" w:hAnsi="Times New Roman" w:cs="Times New Roman"/>
        </w:rPr>
        <w:t xml:space="preserve"> inoltre </w:t>
      </w:r>
      <w:r w:rsidRPr="00BF4B33">
        <w:rPr>
          <w:rFonts w:ascii="Times New Roman" w:hAnsi="Times New Roman" w:cs="Times New Roman"/>
          <w:b/>
        </w:rPr>
        <w:t>approvare la strategia e il Piano di Comunicazione</w:t>
      </w:r>
      <w:r w:rsidRPr="00BF4B33">
        <w:rPr>
          <w:rFonts w:ascii="Times New Roman" w:hAnsi="Times New Roman" w:cs="Times New Roman"/>
        </w:rPr>
        <w:t>; mentre nell’attuale periodo programmatorio il Regolamento di attuazione si limitava a sancire l’obbligo per l’</w:t>
      </w:r>
      <w:proofErr w:type="spellStart"/>
      <w:r w:rsidRPr="00BF4B33">
        <w:rPr>
          <w:rFonts w:ascii="Times New Roman" w:hAnsi="Times New Roman" w:cs="Times New Roman"/>
        </w:rPr>
        <w:t>AdG</w:t>
      </w:r>
      <w:proofErr w:type="spellEnd"/>
      <w:r w:rsidRPr="00BF4B33">
        <w:rPr>
          <w:rFonts w:ascii="Times New Roman" w:hAnsi="Times New Roman" w:cs="Times New Roman"/>
        </w:rPr>
        <w:t xml:space="preserve"> di presentazione al </w:t>
      </w:r>
      <w:proofErr w:type="spellStart"/>
      <w:r w:rsidRPr="00BF4B33">
        <w:rPr>
          <w:rFonts w:ascii="Times New Roman" w:hAnsi="Times New Roman" w:cs="Times New Roman"/>
        </w:rPr>
        <w:t>CdS</w:t>
      </w:r>
      <w:proofErr w:type="spellEnd"/>
      <w:r w:rsidRPr="00BF4B33">
        <w:rPr>
          <w:rFonts w:ascii="Times New Roman" w:hAnsi="Times New Roman" w:cs="Times New Roman"/>
        </w:rPr>
        <w:t xml:space="preserve"> del Piano di Comunicazione e dei progressi realizzati nella sua attuazione.</w:t>
      </w:r>
      <w:r w:rsidRPr="00BF4B33">
        <w:rPr>
          <w:rFonts w:ascii="Times New Roman" w:hAnsi="Times New Roman" w:cs="Times New Roman"/>
          <w:highlight w:val="yellow"/>
        </w:rPr>
        <w:t xml:space="preserve"> </w:t>
      </w:r>
    </w:p>
    <w:p w:rsidR="00133CCB" w:rsidRPr="00BF4B33" w:rsidRDefault="00133CCB" w:rsidP="00133CCB">
      <w:pPr>
        <w:autoSpaceDE w:val="0"/>
        <w:autoSpaceDN w:val="0"/>
        <w:adjustRightInd w:val="0"/>
        <w:spacing w:after="0" w:line="240" w:lineRule="auto"/>
        <w:jc w:val="both"/>
        <w:rPr>
          <w:rFonts w:ascii="Times New Roman" w:hAnsi="Times New Roman" w:cs="Times New Roman"/>
        </w:rPr>
      </w:pPr>
      <w:r w:rsidRPr="00794295">
        <w:rPr>
          <w:rFonts w:ascii="Times New Roman" w:hAnsi="Times New Roman" w:cs="Times New Roman"/>
        </w:rPr>
        <w:t>Tra le novità di maggior rilievo si segnala il venir meno del potere di impulso del C</w:t>
      </w:r>
      <w:r w:rsidR="00A262AE" w:rsidRPr="00794295">
        <w:rPr>
          <w:rFonts w:ascii="Times New Roman" w:hAnsi="Times New Roman" w:cs="Times New Roman"/>
        </w:rPr>
        <w:t>omitato</w:t>
      </w:r>
      <w:r w:rsidRPr="00794295">
        <w:rPr>
          <w:rFonts w:ascii="Times New Roman" w:hAnsi="Times New Roman" w:cs="Times New Roman"/>
        </w:rPr>
        <w:t xml:space="preserve"> nel proporre revisione dei programmi. Diversamente da quanto avviene nella programmazione corrente il </w:t>
      </w:r>
      <w:proofErr w:type="spellStart"/>
      <w:r w:rsidRPr="00794295">
        <w:rPr>
          <w:rFonts w:ascii="Times New Roman" w:hAnsi="Times New Roman" w:cs="Times New Roman"/>
        </w:rPr>
        <w:t>CdS</w:t>
      </w:r>
      <w:proofErr w:type="spellEnd"/>
      <w:r w:rsidRPr="00794295">
        <w:rPr>
          <w:rFonts w:ascii="Times New Roman" w:hAnsi="Times New Roman" w:cs="Times New Roman"/>
          <w:b/>
        </w:rPr>
        <w:t xml:space="preserve"> non potrà</w:t>
      </w:r>
      <w:r w:rsidRPr="00794295">
        <w:rPr>
          <w:rFonts w:ascii="Times New Roman" w:hAnsi="Times New Roman" w:cs="Times New Roman"/>
        </w:rPr>
        <w:t xml:space="preserve">, infatti, </w:t>
      </w:r>
      <w:r w:rsidRPr="00794295">
        <w:rPr>
          <w:rFonts w:ascii="Times New Roman" w:hAnsi="Times New Roman" w:cs="Times New Roman"/>
          <w:b/>
        </w:rPr>
        <w:t>proporre revisioni o riesami del PO</w:t>
      </w:r>
      <w:r w:rsidRPr="00794295">
        <w:rPr>
          <w:rFonts w:ascii="Times New Roman" w:hAnsi="Times New Roman" w:cs="Times New Roman"/>
        </w:rPr>
        <w:t xml:space="preserve"> tali da permettere il conseguimento degli obiettivi dei Fondi o di migliorare la gestione, compresa quella finanziaria. Relativamente alle modifiche del PO proposte dall’</w:t>
      </w:r>
      <w:proofErr w:type="spellStart"/>
      <w:r w:rsidRPr="00794295">
        <w:rPr>
          <w:rFonts w:ascii="Times New Roman" w:hAnsi="Times New Roman" w:cs="Times New Roman"/>
        </w:rPr>
        <w:t>AdG</w:t>
      </w:r>
      <w:proofErr w:type="spellEnd"/>
      <w:r w:rsidRPr="00794295">
        <w:rPr>
          <w:rFonts w:ascii="Times New Roman" w:hAnsi="Times New Roman" w:cs="Times New Roman"/>
        </w:rPr>
        <w:t xml:space="preserve"> il Comitato di Sorveglianza conserva </w:t>
      </w:r>
      <w:r w:rsidR="00D34728" w:rsidRPr="00794295">
        <w:rPr>
          <w:rFonts w:ascii="Times New Roman" w:hAnsi="Times New Roman" w:cs="Times New Roman"/>
        </w:rPr>
        <w:t xml:space="preserve">invece </w:t>
      </w:r>
      <w:r w:rsidRPr="00794295">
        <w:rPr>
          <w:rFonts w:ascii="Times New Roman" w:hAnsi="Times New Roman" w:cs="Times New Roman"/>
        </w:rPr>
        <w:t>la sua funzione di organo deputato al</w:t>
      </w:r>
      <w:r w:rsidR="001139C8" w:rsidRPr="00794295">
        <w:rPr>
          <w:rFonts w:ascii="Times New Roman" w:hAnsi="Times New Roman" w:cs="Times New Roman"/>
        </w:rPr>
        <w:t>l’</w:t>
      </w:r>
      <w:r w:rsidRPr="00794295">
        <w:rPr>
          <w:rFonts w:ascii="Times New Roman" w:hAnsi="Times New Roman" w:cs="Times New Roman"/>
        </w:rPr>
        <w:t xml:space="preserve">esame e all’approvazione. </w:t>
      </w:r>
    </w:p>
    <w:p w:rsidR="002A36A0" w:rsidRDefault="002A36A0" w:rsidP="00133CCB">
      <w:pPr>
        <w:pStyle w:val="CM4"/>
        <w:spacing w:before="60" w:after="60"/>
        <w:jc w:val="both"/>
        <w:rPr>
          <w:rFonts w:ascii="Times New Roman" w:hAnsi="Times New Roman" w:cs="Times New Roman"/>
          <w:sz w:val="22"/>
          <w:szCs w:val="22"/>
        </w:rPr>
      </w:pPr>
    </w:p>
    <w:p w:rsidR="00133CCB" w:rsidRPr="00794295" w:rsidRDefault="00133CCB" w:rsidP="00133CCB">
      <w:pPr>
        <w:pStyle w:val="CM4"/>
        <w:spacing w:before="60" w:after="60"/>
        <w:jc w:val="both"/>
        <w:rPr>
          <w:rFonts w:ascii="Times New Roman" w:hAnsi="Times New Roman" w:cs="Times New Roman"/>
          <w:sz w:val="22"/>
          <w:szCs w:val="22"/>
        </w:rPr>
      </w:pPr>
      <w:r w:rsidRPr="00794295">
        <w:rPr>
          <w:rFonts w:ascii="Times New Roman" w:hAnsi="Times New Roman" w:cs="Times New Roman"/>
          <w:sz w:val="22"/>
          <w:szCs w:val="22"/>
        </w:rPr>
        <w:t xml:space="preserve">Del tutto nuove appaiono infine </w:t>
      </w:r>
      <w:r w:rsidRPr="00794295">
        <w:rPr>
          <w:rFonts w:ascii="Times New Roman" w:hAnsi="Times New Roman" w:cs="Times New Roman"/>
          <w:b/>
          <w:sz w:val="22"/>
          <w:szCs w:val="22"/>
        </w:rPr>
        <w:t>le funzioni di esame</w:t>
      </w:r>
      <w:r w:rsidRPr="00794295">
        <w:rPr>
          <w:rFonts w:ascii="Times New Roman" w:hAnsi="Times New Roman" w:cs="Times New Roman"/>
          <w:sz w:val="22"/>
          <w:szCs w:val="22"/>
        </w:rPr>
        <w:t xml:space="preserve"> attribuite dai Regolamenti (</w:t>
      </w:r>
      <w:r w:rsidR="00FC02F7">
        <w:rPr>
          <w:rFonts w:ascii="Times New Roman" w:hAnsi="Times New Roman" w:cs="Times New Roman"/>
          <w:sz w:val="22"/>
          <w:szCs w:val="22"/>
        </w:rPr>
        <w:t>disposizioni comuni</w:t>
      </w:r>
      <w:r w:rsidRPr="00794295">
        <w:rPr>
          <w:rFonts w:ascii="Times New Roman" w:hAnsi="Times New Roman" w:cs="Times New Roman"/>
          <w:sz w:val="22"/>
          <w:szCs w:val="22"/>
        </w:rPr>
        <w:t xml:space="preserve"> e FSE) </w:t>
      </w:r>
      <w:r w:rsidR="00F94E32">
        <w:rPr>
          <w:rFonts w:ascii="Times New Roman" w:hAnsi="Times New Roman" w:cs="Times New Roman"/>
          <w:sz w:val="22"/>
          <w:szCs w:val="22"/>
        </w:rPr>
        <w:t xml:space="preserve">al </w:t>
      </w:r>
      <w:proofErr w:type="spellStart"/>
      <w:r w:rsidR="00F94E32">
        <w:rPr>
          <w:rFonts w:ascii="Times New Roman" w:hAnsi="Times New Roman" w:cs="Times New Roman"/>
          <w:sz w:val="22"/>
          <w:szCs w:val="22"/>
        </w:rPr>
        <w:t>CdS</w:t>
      </w:r>
      <w:proofErr w:type="spellEnd"/>
      <w:r w:rsidR="00F94E32">
        <w:rPr>
          <w:rFonts w:ascii="Times New Roman" w:hAnsi="Times New Roman" w:cs="Times New Roman"/>
          <w:sz w:val="22"/>
          <w:szCs w:val="22"/>
        </w:rPr>
        <w:t xml:space="preserve"> per quanto riguarda: </w:t>
      </w:r>
      <w:r w:rsidRPr="00794295">
        <w:rPr>
          <w:rFonts w:ascii="Times New Roman" w:hAnsi="Times New Roman" w:cs="Times New Roman"/>
          <w:sz w:val="22"/>
          <w:szCs w:val="22"/>
        </w:rPr>
        <w:t>lo stato di avanzamento delle azion</w:t>
      </w:r>
      <w:r w:rsidR="00F94E32">
        <w:rPr>
          <w:rFonts w:ascii="Times New Roman" w:hAnsi="Times New Roman" w:cs="Times New Roman"/>
          <w:sz w:val="22"/>
          <w:szCs w:val="22"/>
        </w:rPr>
        <w:t>i dirette all'adempimento de</w:t>
      </w:r>
      <w:r w:rsidRPr="00794295">
        <w:rPr>
          <w:rFonts w:ascii="Times New Roman" w:hAnsi="Times New Roman" w:cs="Times New Roman"/>
          <w:sz w:val="22"/>
          <w:szCs w:val="22"/>
        </w:rPr>
        <w:t xml:space="preserve">lle </w:t>
      </w:r>
      <w:r w:rsidR="00F94E32" w:rsidRPr="00794295">
        <w:rPr>
          <w:rFonts w:ascii="Times New Roman" w:hAnsi="Times New Roman" w:cs="Times New Roman"/>
          <w:b/>
          <w:sz w:val="22"/>
          <w:szCs w:val="22"/>
        </w:rPr>
        <w:t>condizionalità ex ante</w:t>
      </w:r>
      <w:r w:rsidR="00F94E32" w:rsidRPr="00794295">
        <w:rPr>
          <w:rFonts w:ascii="Times New Roman" w:hAnsi="Times New Roman" w:cs="Times New Roman"/>
          <w:sz w:val="22"/>
          <w:szCs w:val="22"/>
        </w:rPr>
        <w:t xml:space="preserve"> </w:t>
      </w:r>
      <w:r w:rsidRPr="00794295">
        <w:rPr>
          <w:rFonts w:ascii="Times New Roman" w:hAnsi="Times New Roman" w:cs="Times New Roman"/>
          <w:sz w:val="22"/>
          <w:szCs w:val="22"/>
        </w:rPr>
        <w:t>parzialmente soddisfatte; l’attuazione dell’</w:t>
      </w:r>
      <w:r w:rsidRPr="00794295">
        <w:rPr>
          <w:rFonts w:ascii="Times New Roman" w:hAnsi="Times New Roman" w:cs="Times New Roman"/>
          <w:b/>
          <w:sz w:val="22"/>
          <w:szCs w:val="22"/>
        </w:rPr>
        <w:t>iniziativa per l’occupazione giovanile</w:t>
      </w:r>
      <w:r w:rsidRPr="00794295">
        <w:rPr>
          <w:rStyle w:val="Rimandonotaapidipagina"/>
          <w:rFonts w:ascii="Times New Roman" w:hAnsi="Times New Roman" w:cs="Times New Roman"/>
          <w:sz w:val="22"/>
          <w:szCs w:val="22"/>
        </w:rPr>
        <w:footnoteReference w:id="2"/>
      </w:r>
      <w:r w:rsidR="003104E0" w:rsidRPr="00794295">
        <w:rPr>
          <w:rFonts w:ascii="Times New Roman" w:hAnsi="Times New Roman" w:cs="Times New Roman"/>
          <w:sz w:val="22"/>
          <w:szCs w:val="22"/>
        </w:rPr>
        <w:t>;</w:t>
      </w:r>
      <w:r w:rsidRPr="00794295">
        <w:rPr>
          <w:rFonts w:ascii="Times New Roman" w:hAnsi="Times New Roman" w:cs="Times New Roman"/>
          <w:sz w:val="22"/>
          <w:szCs w:val="22"/>
        </w:rPr>
        <w:t xml:space="preserve"> le azioni intese a promuovere le </w:t>
      </w:r>
      <w:r w:rsidRPr="00794295">
        <w:rPr>
          <w:rFonts w:ascii="Times New Roman" w:hAnsi="Times New Roman" w:cs="Times New Roman"/>
          <w:b/>
          <w:sz w:val="22"/>
          <w:szCs w:val="22"/>
        </w:rPr>
        <w:t>pari</w:t>
      </w:r>
      <w:r w:rsidRPr="00794295">
        <w:rPr>
          <w:rFonts w:ascii="Times New Roman" w:hAnsi="Times New Roman" w:cs="Times New Roman"/>
          <w:sz w:val="22"/>
          <w:szCs w:val="22"/>
        </w:rPr>
        <w:t xml:space="preserve"> </w:t>
      </w:r>
      <w:r w:rsidRPr="00794295">
        <w:rPr>
          <w:rFonts w:ascii="Times New Roman" w:hAnsi="Times New Roman" w:cs="Times New Roman"/>
          <w:b/>
          <w:sz w:val="22"/>
          <w:szCs w:val="22"/>
        </w:rPr>
        <w:t xml:space="preserve">opportunità </w:t>
      </w:r>
      <w:r w:rsidRPr="00794295">
        <w:rPr>
          <w:rFonts w:ascii="Times New Roman" w:hAnsi="Times New Roman" w:cs="Times New Roman"/>
          <w:sz w:val="22"/>
          <w:szCs w:val="22"/>
        </w:rPr>
        <w:t xml:space="preserve">e la </w:t>
      </w:r>
      <w:r w:rsidRPr="00794295">
        <w:rPr>
          <w:rFonts w:ascii="Times New Roman" w:hAnsi="Times New Roman" w:cs="Times New Roman"/>
          <w:b/>
          <w:sz w:val="22"/>
          <w:szCs w:val="22"/>
        </w:rPr>
        <w:t>non discriminazione</w:t>
      </w:r>
      <w:r w:rsidRPr="00794295">
        <w:rPr>
          <w:rFonts w:ascii="Times New Roman" w:hAnsi="Times New Roman" w:cs="Times New Roman"/>
          <w:sz w:val="22"/>
          <w:szCs w:val="22"/>
        </w:rPr>
        <w:t xml:space="preserve">; l'attuazione dei </w:t>
      </w:r>
      <w:r w:rsidRPr="00794295">
        <w:rPr>
          <w:rFonts w:ascii="Times New Roman" w:hAnsi="Times New Roman" w:cs="Times New Roman"/>
          <w:b/>
          <w:sz w:val="22"/>
          <w:szCs w:val="22"/>
        </w:rPr>
        <w:t>piani d'azione comuni</w:t>
      </w:r>
      <w:r w:rsidRPr="00794295">
        <w:rPr>
          <w:rFonts w:ascii="Times New Roman" w:hAnsi="Times New Roman" w:cs="Times New Roman"/>
          <w:sz w:val="22"/>
          <w:szCs w:val="22"/>
        </w:rPr>
        <w:t xml:space="preserve">; le azioni intese a promuovere lo </w:t>
      </w:r>
      <w:r w:rsidRPr="00794295">
        <w:rPr>
          <w:rFonts w:ascii="Times New Roman" w:hAnsi="Times New Roman" w:cs="Times New Roman"/>
          <w:b/>
          <w:sz w:val="22"/>
          <w:szCs w:val="22"/>
        </w:rPr>
        <w:t>sviluppo sostenibile</w:t>
      </w:r>
      <w:r w:rsidRPr="00794295">
        <w:rPr>
          <w:rFonts w:ascii="Times New Roman" w:hAnsi="Times New Roman" w:cs="Times New Roman"/>
          <w:sz w:val="22"/>
          <w:szCs w:val="22"/>
        </w:rPr>
        <w:t xml:space="preserve">. </w:t>
      </w:r>
    </w:p>
    <w:p w:rsidR="00F34DFA" w:rsidRPr="00F34DFA" w:rsidRDefault="00F34DFA" w:rsidP="00F34DFA"/>
    <w:p w:rsidR="00F34DFA" w:rsidRDefault="00F34DFA" w:rsidP="00F34DFA">
      <w:pPr>
        <w:pStyle w:val="Titolo6"/>
        <w:jc w:val="center"/>
      </w:pPr>
      <w:r w:rsidRPr="00322DA1">
        <w:rPr>
          <w:b/>
          <w:bCs/>
          <w:i w:val="0"/>
          <w:iCs w:val="0"/>
          <w:sz w:val="22"/>
          <w:szCs w:val="22"/>
        </w:rPr>
        <w:t>Relazioni di attuazione</w:t>
      </w:r>
      <w:r>
        <w:t xml:space="preserve"> </w:t>
      </w:r>
    </w:p>
    <w:p w:rsidR="00F34DFA" w:rsidRDefault="00C63741" w:rsidP="00F34DFA">
      <w:pPr>
        <w:pStyle w:val="Titolo6"/>
        <w:jc w:val="center"/>
      </w:pPr>
      <w:r>
        <w:t>[</w:t>
      </w:r>
      <w:proofErr w:type="gramStart"/>
      <w:r>
        <w:t>articoli</w:t>
      </w:r>
      <w:proofErr w:type="gramEnd"/>
      <w:r w:rsidR="00F34DFA">
        <w:t xml:space="preserve"> 50 e 111</w:t>
      </w:r>
      <w:r w:rsidRPr="00C63741">
        <w:t xml:space="preserve"> Regolamento Disposizioni Comuni]</w:t>
      </w:r>
    </w:p>
    <w:p w:rsidR="00F34DFA" w:rsidRPr="000B6FB3" w:rsidRDefault="00F34DFA" w:rsidP="00F34DFA">
      <w:pPr>
        <w:rPr>
          <w:lang w:eastAsia="it-IT"/>
        </w:rPr>
      </w:pPr>
    </w:p>
    <w:p w:rsidR="00F34DFA" w:rsidRPr="00FD5799" w:rsidRDefault="00F34DFA" w:rsidP="003937A8">
      <w:pPr>
        <w:pStyle w:val="Titolo6"/>
        <w:rPr>
          <w:i w:val="0"/>
          <w:sz w:val="22"/>
          <w:szCs w:val="22"/>
        </w:rPr>
      </w:pPr>
      <w:r w:rsidRPr="00FD5799">
        <w:rPr>
          <w:i w:val="0"/>
          <w:sz w:val="22"/>
          <w:szCs w:val="22"/>
        </w:rPr>
        <w:t xml:space="preserve">Per quanto riguarda i </w:t>
      </w:r>
      <w:r w:rsidRPr="00FD5799">
        <w:rPr>
          <w:b/>
          <w:i w:val="0"/>
          <w:sz w:val="22"/>
          <w:szCs w:val="22"/>
        </w:rPr>
        <w:t>rapporti di esecuzione</w:t>
      </w:r>
      <w:r w:rsidRPr="00FD5799">
        <w:rPr>
          <w:i w:val="0"/>
          <w:sz w:val="22"/>
          <w:szCs w:val="22"/>
        </w:rPr>
        <w:t xml:space="preserve"> (annuali e finali) si rileva come il 2014-2020 sia caratterizzato da una reportistica più “leggera”, rispetto alla programmazione 2007-2013. Le nuove norme mirano ad assicurare oneri di reportistica proporzionati per le Autorità di Gestione, limitandoli agli elementi essenziali. I rapporti annuali dovranno, in linea di massima, fornire alla Commissione solo i principali dati sui progressi realizzati; gli stessi dovranno inoltre essere inseriti direttamente sul sistema informativo della CE (SFC). </w:t>
      </w:r>
    </w:p>
    <w:p w:rsidR="00F34DFA" w:rsidRPr="00FD5799" w:rsidRDefault="00F34DFA" w:rsidP="003937A8">
      <w:pPr>
        <w:pStyle w:val="Titolo6"/>
        <w:rPr>
          <w:i w:val="0"/>
          <w:sz w:val="22"/>
          <w:szCs w:val="22"/>
        </w:rPr>
      </w:pPr>
      <w:r w:rsidRPr="00FD5799">
        <w:rPr>
          <w:i w:val="0"/>
          <w:sz w:val="22"/>
          <w:szCs w:val="22"/>
        </w:rPr>
        <w:t xml:space="preserve">Il primo elemento di novità rispetto al 2007- 2013 riguarda la </w:t>
      </w:r>
      <w:r w:rsidRPr="00FD5799">
        <w:rPr>
          <w:b/>
          <w:i w:val="0"/>
          <w:sz w:val="22"/>
          <w:szCs w:val="22"/>
        </w:rPr>
        <w:t>tempistica di presentazione</w:t>
      </w:r>
      <w:r w:rsidRPr="00FD5799">
        <w:rPr>
          <w:i w:val="0"/>
          <w:sz w:val="22"/>
          <w:szCs w:val="22"/>
        </w:rPr>
        <w:t xml:space="preserve"> delle relazioni. Il </w:t>
      </w:r>
      <w:r w:rsidRPr="00FD5799">
        <w:rPr>
          <w:b/>
          <w:i w:val="0"/>
          <w:sz w:val="22"/>
          <w:szCs w:val="22"/>
        </w:rPr>
        <w:t>primo</w:t>
      </w:r>
      <w:r w:rsidRPr="00FD5799">
        <w:rPr>
          <w:i w:val="0"/>
          <w:sz w:val="22"/>
          <w:szCs w:val="22"/>
        </w:rPr>
        <w:t xml:space="preserve"> </w:t>
      </w:r>
      <w:r w:rsidRPr="00FD5799">
        <w:rPr>
          <w:b/>
          <w:i w:val="0"/>
          <w:sz w:val="22"/>
          <w:szCs w:val="22"/>
        </w:rPr>
        <w:t>rapporto annuale</w:t>
      </w:r>
      <w:r w:rsidRPr="00FD5799">
        <w:rPr>
          <w:i w:val="0"/>
          <w:sz w:val="22"/>
          <w:szCs w:val="22"/>
        </w:rPr>
        <w:t xml:space="preserve"> di esecuzione dovrà essere presentato nel </w:t>
      </w:r>
      <w:r w:rsidRPr="00FD5799">
        <w:rPr>
          <w:b/>
          <w:i w:val="0"/>
          <w:sz w:val="22"/>
          <w:szCs w:val="22"/>
        </w:rPr>
        <w:t>maggio 2016</w:t>
      </w:r>
      <w:r w:rsidRPr="00FD5799">
        <w:rPr>
          <w:i w:val="0"/>
          <w:sz w:val="22"/>
          <w:szCs w:val="22"/>
        </w:rPr>
        <w:t xml:space="preserve"> (entro il 31 maggio) e coprirà gli esercizi finanziari 2014 e 2015, nonché il periodo tra la data inziale di ammissibilità della spesa e il 31 dicembre 2013. Ogni anno successivo i </w:t>
      </w:r>
      <w:r w:rsidRPr="00FD5799">
        <w:rPr>
          <w:i w:val="0"/>
          <w:sz w:val="20"/>
          <w:szCs w:val="22"/>
        </w:rPr>
        <w:t xml:space="preserve">rapporti dovranno </w:t>
      </w:r>
      <w:r w:rsidRPr="00FD5799">
        <w:rPr>
          <w:i w:val="0"/>
          <w:sz w:val="22"/>
          <w:szCs w:val="22"/>
        </w:rPr>
        <w:t>essere trasmessi alla CE entro la stessa data (</w:t>
      </w:r>
      <w:r w:rsidRPr="00FD5799">
        <w:rPr>
          <w:b/>
          <w:i w:val="0"/>
          <w:sz w:val="22"/>
          <w:szCs w:val="22"/>
        </w:rPr>
        <w:t>31 maggio</w:t>
      </w:r>
      <w:r w:rsidRPr="00FD5799">
        <w:rPr>
          <w:i w:val="0"/>
          <w:sz w:val="22"/>
          <w:szCs w:val="22"/>
        </w:rPr>
        <w:t xml:space="preserve">); solo per le </w:t>
      </w:r>
      <w:r w:rsidRPr="00FD5799">
        <w:rPr>
          <w:b/>
          <w:i w:val="0"/>
          <w:sz w:val="22"/>
          <w:szCs w:val="22"/>
        </w:rPr>
        <w:t xml:space="preserve">relazioni </w:t>
      </w:r>
      <w:r w:rsidRPr="00FD5799">
        <w:rPr>
          <w:i w:val="0"/>
          <w:sz w:val="22"/>
          <w:szCs w:val="22"/>
        </w:rPr>
        <w:t xml:space="preserve">da presentare nel </w:t>
      </w:r>
      <w:r w:rsidRPr="00FD5799">
        <w:rPr>
          <w:b/>
          <w:i w:val="0"/>
          <w:sz w:val="22"/>
          <w:szCs w:val="22"/>
        </w:rPr>
        <w:t>2017</w:t>
      </w:r>
      <w:r w:rsidRPr="00FD5799">
        <w:rPr>
          <w:i w:val="0"/>
          <w:sz w:val="22"/>
          <w:szCs w:val="22"/>
        </w:rPr>
        <w:t xml:space="preserve"> e nel </w:t>
      </w:r>
      <w:r w:rsidRPr="00FD5799">
        <w:rPr>
          <w:b/>
          <w:i w:val="0"/>
          <w:sz w:val="22"/>
          <w:szCs w:val="22"/>
        </w:rPr>
        <w:t>2019</w:t>
      </w:r>
      <w:r w:rsidRPr="00FD5799">
        <w:rPr>
          <w:i w:val="0"/>
          <w:sz w:val="22"/>
          <w:szCs w:val="22"/>
        </w:rPr>
        <w:t xml:space="preserve"> è previsto un termine analogo a quello fissato dai Regolamenti per il 2007-‘13, ovvero il </w:t>
      </w:r>
      <w:r w:rsidRPr="00FD5799">
        <w:rPr>
          <w:b/>
          <w:i w:val="0"/>
          <w:sz w:val="22"/>
          <w:szCs w:val="22"/>
        </w:rPr>
        <w:t>30 giugno</w:t>
      </w:r>
      <w:r w:rsidRPr="00FD5799">
        <w:rPr>
          <w:i w:val="0"/>
          <w:sz w:val="22"/>
          <w:szCs w:val="22"/>
        </w:rPr>
        <w:t>. La Commissione dispo</w:t>
      </w:r>
      <w:r w:rsidR="001737B2" w:rsidRPr="00FD5799">
        <w:rPr>
          <w:i w:val="0"/>
          <w:sz w:val="22"/>
          <w:szCs w:val="22"/>
        </w:rPr>
        <w:t xml:space="preserve">rrà </w:t>
      </w:r>
      <w:r w:rsidRPr="00FD5799">
        <w:rPr>
          <w:i w:val="0"/>
          <w:sz w:val="22"/>
          <w:szCs w:val="22"/>
        </w:rPr>
        <w:t xml:space="preserve">di </w:t>
      </w:r>
      <w:r w:rsidRPr="00FD5799">
        <w:rPr>
          <w:b/>
          <w:i w:val="0"/>
          <w:sz w:val="22"/>
          <w:szCs w:val="22"/>
        </w:rPr>
        <w:t>quindici giorni</w:t>
      </w:r>
      <w:r w:rsidRPr="00FD5799">
        <w:rPr>
          <w:i w:val="0"/>
          <w:sz w:val="22"/>
          <w:szCs w:val="22"/>
        </w:rPr>
        <w:t xml:space="preserve"> lavorativi, in luogo dei dieci della programmazione corrente, per informare lo SM/</w:t>
      </w:r>
      <w:proofErr w:type="spellStart"/>
      <w:r w:rsidRPr="00FD5799">
        <w:rPr>
          <w:i w:val="0"/>
          <w:sz w:val="22"/>
          <w:szCs w:val="22"/>
        </w:rPr>
        <w:t>AdG</w:t>
      </w:r>
      <w:proofErr w:type="spellEnd"/>
      <w:r w:rsidRPr="00FD5799">
        <w:rPr>
          <w:i w:val="0"/>
          <w:sz w:val="22"/>
          <w:szCs w:val="22"/>
        </w:rPr>
        <w:t xml:space="preserve"> sulla ricevibilità del rapporto annuale, a decorrere dalla data di rice</w:t>
      </w:r>
      <w:r w:rsidR="00D26522" w:rsidRPr="00FD5799">
        <w:rPr>
          <w:i w:val="0"/>
          <w:sz w:val="22"/>
          <w:szCs w:val="22"/>
        </w:rPr>
        <w:t>zione</w:t>
      </w:r>
      <w:r w:rsidRPr="00FD5799">
        <w:rPr>
          <w:i w:val="0"/>
          <w:sz w:val="22"/>
          <w:szCs w:val="22"/>
        </w:rPr>
        <w:t xml:space="preserve"> dello stesso.</w:t>
      </w:r>
    </w:p>
    <w:p w:rsidR="00F34DFA" w:rsidRPr="00302DF1" w:rsidRDefault="00F34DFA" w:rsidP="003937A8">
      <w:pPr>
        <w:jc w:val="both"/>
        <w:rPr>
          <w:rFonts w:ascii="Times New Roman" w:eastAsia="Times New Roman" w:hAnsi="Times New Roman" w:cs="Times New Roman"/>
          <w:iCs/>
          <w:lang w:eastAsia="it-IT"/>
        </w:rPr>
      </w:pPr>
      <w:r w:rsidRPr="00FD5799">
        <w:rPr>
          <w:rFonts w:ascii="Times New Roman" w:eastAsia="Times New Roman" w:hAnsi="Times New Roman" w:cs="Times New Roman"/>
          <w:iCs/>
          <w:lang w:eastAsia="it-IT"/>
        </w:rPr>
        <w:t xml:space="preserve">Differenze si riscontrano relativamente ai </w:t>
      </w:r>
      <w:r w:rsidRPr="00FD5799">
        <w:rPr>
          <w:rFonts w:ascii="Times New Roman" w:eastAsia="Times New Roman" w:hAnsi="Times New Roman" w:cs="Times New Roman"/>
          <w:b/>
          <w:iCs/>
          <w:lang w:eastAsia="it-IT"/>
        </w:rPr>
        <w:t>termini</w:t>
      </w:r>
      <w:r w:rsidRPr="00FD5799">
        <w:rPr>
          <w:rFonts w:ascii="Times New Roman" w:eastAsia="Times New Roman" w:hAnsi="Times New Roman" w:cs="Times New Roman"/>
          <w:iCs/>
          <w:lang w:eastAsia="it-IT"/>
        </w:rPr>
        <w:t xml:space="preserve"> entro i quali la </w:t>
      </w:r>
      <w:r w:rsidRPr="00FD5799">
        <w:rPr>
          <w:rFonts w:ascii="Times New Roman" w:eastAsia="Times New Roman" w:hAnsi="Times New Roman" w:cs="Times New Roman"/>
          <w:b/>
          <w:iCs/>
          <w:lang w:eastAsia="it-IT"/>
        </w:rPr>
        <w:t xml:space="preserve">Commissione </w:t>
      </w:r>
      <w:r w:rsidRPr="00FD5799">
        <w:rPr>
          <w:rFonts w:ascii="Times New Roman" w:eastAsia="Times New Roman" w:hAnsi="Times New Roman" w:cs="Times New Roman"/>
          <w:iCs/>
          <w:lang w:eastAsia="it-IT"/>
        </w:rPr>
        <w:t>può formulare</w:t>
      </w:r>
      <w:r w:rsidRPr="00FD5799">
        <w:rPr>
          <w:rFonts w:ascii="Times New Roman" w:eastAsia="Times New Roman" w:hAnsi="Times New Roman" w:cs="Times New Roman"/>
          <w:b/>
          <w:iCs/>
          <w:lang w:eastAsia="it-IT"/>
        </w:rPr>
        <w:t xml:space="preserve"> osservazioni</w:t>
      </w:r>
      <w:r w:rsidRPr="00FD5799">
        <w:rPr>
          <w:rFonts w:ascii="Times New Roman" w:eastAsia="Times New Roman" w:hAnsi="Times New Roman" w:cs="Times New Roman"/>
          <w:iCs/>
          <w:lang w:eastAsia="it-IT"/>
        </w:rPr>
        <w:t xml:space="preserve">, ma unicamente con riferimento al rapporto finale, che sono elevati dagli attuali due a </w:t>
      </w:r>
      <w:r w:rsidRPr="00FD5799">
        <w:rPr>
          <w:rFonts w:ascii="Times New Roman" w:eastAsia="Times New Roman" w:hAnsi="Times New Roman" w:cs="Times New Roman"/>
          <w:b/>
          <w:iCs/>
          <w:lang w:eastAsia="it-IT"/>
        </w:rPr>
        <w:t>cinque mesi</w:t>
      </w:r>
      <w:r>
        <w:rPr>
          <w:rFonts w:ascii="Times New Roman" w:eastAsia="Times New Roman" w:hAnsi="Times New Roman" w:cs="Times New Roman"/>
          <w:iCs/>
          <w:lang w:eastAsia="it-IT"/>
        </w:rPr>
        <w:t xml:space="preserve">. </w:t>
      </w:r>
      <w:r w:rsidRPr="00302DF1">
        <w:rPr>
          <w:rFonts w:ascii="Times New Roman" w:eastAsia="Times New Roman" w:hAnsi="Times New Roman" w:cs="Times New Roman"/>
          <w:iCs/>
          <w:lang w:eastAsia="it-IT"/>
        </w:rPr>
        <w:t xml:space="preserve"> </w:t>
      </w:r>
    </w:p>
    <w:p w:rsidR="00F34DFA" w:rsidRDefault="00F34DFA" w:rsidP="003937A8">
      <w:pPr>
        <w:pStyle w:val="Titolo6"/>
        <w:rPr>
          <w:i w:val="0"/>
          <w:sz w:val="22"/>
          <w:szCs w:val="22"/>
        </w:rPr>
      </w:pPr>
      <w:r>
        <w:rPr>
          <w:i w:val="0"/>
          <w:sz w:val="22"/>
          <w:szCs w:val="22"/>
        </w:rPr>
        <w:t xml:space="preserve">Sotto il profilo dei </w:t>
      </w:r>
      <w:r w:rsidRPr="00FD5799">
        <w:rPr>
          <w:b/>
          <w:i w:val="0"/>
          <w:sz w:val="22"/>
          <w:szCs w:val="22"/>
        </w:rPr>
        <w:t>contenuti</w:t>
      </w:r>
      <w:r>
        <w:rPr>
          <w:i w:val="0"/>
          <w:sz w:val="22"/>
          <w:szCs w:val="22"/>
        </w:rPr>
        <w:t>, i</w:t>
      </w:r>
      <w:r w:rsidRPr="003D2012">
        <w:rPr>
          <w:i w:val="0"/>
          <w:sz w:val="22"/>
          <w:szCs w:val="22"/>
        </w:rPr>
        <w:t>n termini generali</w:t>
      </w:r>
      <w:r>
        <w:rPr>
          <w:i w:val="0"/>
          <w:sz w:val="22"/>
          <w:szCs w:val="22"/>
        </w:rPr>
        <w:t>, gli obblighi di</w:t>
      </w:r>
      <w:r w:rsidRPr="00927330">
        <w:rPr>
          <w:i w:val="0"/>
          <w:sz w:val="22"/>
          <w:szCs w:val="22"/>
        </w:rPr>
        <w:t xml:space="preserve"> fornire dati di monitoraggio sulla base de</w:t>
      </w:r>
      <w:r>
        <w:rPr>
          <w:i w:val="0"/>
          <w:sz w:val="22"/>
          <w:szCs w:val="22"/>
        </w:rPr>
        <w:t>gl</w:t>
      </w:r>
      <w:r w:rsidRPr="00927330">
        <w:rPr>
          <w:i w:val="0"/>
          <w:sz w:val="22"/>
          <w:szCs w:val="22"/>
        </w:rPr>
        <w:t xml:space="preserve">i </w:t>
      </w:r>
      <w:r>
        <w:rPr>
          <w:i w:val="0"/>
          <w:sz w:val="22"/>
          <w:szCs w:val="22"/>
        </w:rPr>
        <w:t>indicatori e</w:t>
      </w:r>
      <w:r w:rsidRPr="00927330">
        <w:rPr>
          <w:i w:val="0"/>
          <w:sz w:val="22"/>
          <w:szCs w:val="22"/>
        </w:rPr>
        <w:t xml:space="preserve"> </w:t>
      </w:r>
      <w:r>
        <w:rPr>
          <w:i w:val="0"/>
          <w:sz w:val="22"/>
          <w:szCs w:val="22"/>
        </w:rPr>
        <w:t>dei dati finanziari, nonché di presentare nei RAE informazioni</w:t>
      </w:r>
      <w:r w:rsidRPr="00927330">
        <w:rPr>
          <w:i w:val="0"/>
          <w:sz w:val="22"/>
          <w:szCs w:val="22"/>
        </w:rPr>
        <w:t xml:space="preserve"> sui problemi che </w:t>
      </w:r>
      <w:r>
        <w:rPr>
          <w:i w:val="0"/>
          <w:sz w:val="22"/>
          <w:szCs w:val="22"/>
        </w:rPr>
        <w:t>incidono</w:t>
      </w:r>
      <w:r w:rsidRPr="00927330">
        <w:rPr>
          <w:i w:val="0"/>
          <w:sz w:val="22"/>
          <w:szCs w:val="22"/>
        </w:rPr>
        <w:t xml:space="preserve"> </w:t>
      </w:r>
      <w:r>
        <w:rPr>
          <w:i w:val="0"/>
          <w:sz w:val="22"/>
          <w:szCs w:val="22"/>
        </w:rPr>
        <w:t>sui risultati</w:t>
      </w:r>
      <w:r w:rsidRPr="00927330">
        <w:rPr>
          <w:i w:val="0"/>
          <w:sz w:val="22"/>
          <w:szCs w:val="22"/>
        </w:rPr>
        <w:t xml:space="preserve"> del </w:t>
      </w:r>
      <w:r>
        <w:rPr>
          <w:i w:val="0"/>
          <w:sz w:val="22"/>
          <w:szCs w:val="22"/>
        </w:rPr>
        <w:t xml:space="preserve">programma e sulle azioni intraprese per rimuovere tali ostacoli, </w:t>
      </w:r>
      <w:r w:rsidRPr="00927330">
        <w:rPr>
          <w:i w:val="0"/>
          <w:sz w:val="22"/>
          <w:szCs w:val="22"/>
        </w:rPr>
        <w:t xml:space="preserve">rimangono sostanzialmente simili a quelli del periodo di programmazione 2007 - 2013, </w:t>
      </w:r>
      <w:r>
        <w:rPr>
          <w:i w:val="0"/>
          <w:sz w:val="22"/>
          <w:szCs w:val="22"/>
        </w:rPr>
        <w:t>sebbene maggiormente focalizzati</w:t>
      </w:r>
      <w:r w:rsidRPr="00927330">
        <w:rPr>
          <w:i w:val="0"/>
          <w:sz w:val="22"/>
          <w:szCs w:val="22"/>
        </w:rPr>
        <w:t xml:space="preserve"> su dati quantitativi</w:t>
      </w:r>
      <w:r>
        <w:rPr>
          <w:i w:val="0"/>
          <w:sz w:val="22"/>
          <w:szCs w:val="22"/>
        </w:rPr>
        <w:t>.</w:t>
      </w:r>
    </w:p>
    <w:p w:rsidR="00932EC2" w:rsidRDefault="00932EC2" w:rsidP="003937A8">
      <w:pPr>
        <w:pStyle w:val="Titolo6"/>
        <w:rPr>
          <w:i w:val="0"/>
          <w:sz w:val="22"/>
          <w:szCs w:val="22"/>
        </w:rPr>
      </w:pPr>
    </w:p>
    <w:p w:rsidR="00F34DFA" w:rsidRDefault="00F34DFA" w:rsidP="003937A8">
      <w:pPr>
        <w:pStyle w:val="Titolo6"/>
        <w:rPr>
          <w:i w:val="0"/>
          <w:sz w:val="22"/>
          <w:szCs w:val="22"/>
        </w:rPr>
      </w:pPr>
      <w:r>
        <w:rPr>
          <w:i w:val="0"/>
          <w:sz w:val="22"/>
          <w:szCs w:val="22"/>
        </w:rPr>
        <w:t>La principale innovazione</w:t>
      </w:r>
      <w:r w:rsidRPr="006806AC">
        <w:rPr>
          <w:i w:val="0"/>
          <w:sz w:val="22"/>
          <w:szCs w:val="22"/>
        </w:rPr>
        <w:t xml:space="preserve"> è rappresentat</w:t>
      </w:r>
      <w:r>
        <w:rPr>
          <w:i w:val="0"/>
          <w:sz w:val="22"/>
          <w:szCs w:val="22"/>
        </w:rPr>
        <w:t>a</w:t>
      </w:r>
      <w:r w:rsidRPr="006806AC">
        <w:rPr>
          <w:i w:val="0"/>
          <w:sz w:val="22"/>
          <w:szCs w:val="22"/>
        </w:rPr>
        <w:t xml:space="preserve"> dalla possibilità di presentare </w:t>
      </w:r>
      <w:r w:rsidR="00B36CA1">
        <w:rPr>
          <w:i w:val="0"/>
          <w:sz w:val="22"/>
          <w:szCs w:val="22"/>
        </w:rPr>
        <w:t>in alcuni anni</w:t>
      </w:r>
      <w:r w:rsidRPr="00B90105">
        <w:rPr>
          <w:b/>
          <w:i w:val="0"/>
          <w:sz w:val="22"/>
          <w:szCs w:val="22"/>
        </w:rPr>
        <w:t xml:space="preserve"> rapporti semplificati</w:t>
      </w:r>
      <w:r>
        <w:rPr>
          <w:b/>
          <w:i w:val="0"/>
          <w:sz w:val="22"/>
          <w:szCs w:val="22"/>
        </w:rPr>
        <w:t xml:space="preserve">, </w:t>
      </w:r>
      <w:r>
        <w:rPr>
          <w:i w:val="0"/>
          <w:sz w:val="22"/>
          <w:szCs w:val="22"/>
        </w:rPr>
        <w:t>per</w:t>
      </w:r>
      <w:r w:rsidRPr="00413102">
        <w:rPr>
          <w:i w:val="0"/>
          <w:sz w:val="22"/>
          <w:szCs w:val="22"/>
        </w:rPr>
        <w:t xml:space="preserve"> lo più orientati</w:t>
      </w:r>
      <w:r>
        <w:rPr>
          <w:i w:val="0"/>
          <w:sz w:val="22"/>
          <w:szCs w:val="22"/>
        </w:rPr>
        <w:t xml:space="preserve"> </w:t>
      </w:r>
      <w:r w:rsidRPr="00413102">
        <w:rPr>
          <w:i w:val="0"/>
          <w:sz w:val="22"/>
          <w:szCs w:val="22"/>
        </w:rPr>
        <w:t>a fornire un set di dati quantitativi sull'attuazione del PO;</w:t>
      </w:r>
      <w:r w:rsidR="0098403B">
        <w:rPr>
          <w:i w:val="0"/>
          <w:sz w:val="22"/>
          <w:szCs w:val="22"/>
        </w:rPr>
        <w:t xml:space="preserve"> </w:t>
      </w:r>
      <w:r w:rsidRPr="00413102">
        <w:rPr>
          <w:i w:val="0"/>
          <w:sz w:val="22"/>
          <w:szCs w:val="22"/>
        </w:rPr>
        <w:t>oltre ai dati finanziari, occorre fornire i valori quantificati per gli indicatori comuni e</w:t>
      </w:r>
      <w:r w:rsidR="0098403B">
        <w:rPr>
          <w:i w:val="0"/>
          <w:sz w:val="22"/>
          <w:szCs w:val="22"/>
        </w:rPr>
        <w:t xml:space="preserve"> </w:t>
      </w:r>
      <w:r w:rsidRPr="00413102">
        <w:rPr>
          <w:i w:val="0"/>
          <w:sz w:val="22"/>
          <w:szCs w:val="22"/>
        </w:rPr>
        <w:t>specifici di programma</w:t>
      </w:r>
      <w:r>
        <w:rPr>
          <w:i w:val="0"/>
          <w:sz w:val="22"/>
          <w:szCs w:val="22"/>
        </w:rPr>
        <w:t xml:space="preserve">. </w:t>
      </w:r>
      <w:r w:rsidRPr="000308B5">
        <w:rPr>
          <w:i w:val="0"/>
          <w:sz w:val="22"/>
          <w:szCs w:val="22"/>
        </w:rPr>
        <w:t>I rapporti annuali presentati nel 2017 e nel 2019, nonché il rapporto finale del 2023 saranno</w:t>
      </w:r>
      <w:r>
        <w:rPr>
          <w:i w:val="0"/>
          <w:sz w:val="22"/>
          <w:szCs w:val="22"/>
        </w:rPr>
        <w:t xml:space="preserve"> invece</w:t>
      </w:r>
      <w:r w:rsidRPr="000308B5">
        <w:rPr>
          <w:i w:val="0"/>
          <w:sz w:val="22"/>
          <w:szCs w:val="22"/>
        </w:rPr>
        <w:t xml:space="preserve"> </w:t>
      </w:r>
      <w:r w:rsidR="00B36CA1">
        <w:rPr>
          <w:i w:val="0"/>
          <w:sz w:val="22"/>
          <w:szCs w:val="22"/>
        </w:rPr>
        <w:t>più complessi</w:t>
      </w:r>
      <w:r w:rsidRPr="000308B5">
        <w:rPr>
          <w:i w:val="0"/>
          <w:sz w:val="22"/>
          <w:szCs w:val="22"/>
        </w:rPr>
        <w:t>.</w:t>
      </w:r>
    </w:p>
    <w:p w:rsidR="00F34DFA" w:rsidRPr="0056151A" w:rsidRDefault="00F34DFA" w:rsidP="00F34DFA">
      <w:pPr>
        <w:rPr>
          <w:lang w:eastAsia="it-IT"/>
        </w:rPr>
      </w:pPr>
    </w:p>
    <w:p w:rsidR="00F34DFA" w:rsidRDefault="00F34DFA" w:rsidP="00F34DFA">
      <w:pPr>
        <w:pStyle w:val="Titolo6"/>
        <w:rPr>
          <w:i w:val="0"/>
          <w:sz w:val="22"/>
          <w:szCs w:val="22"/>
        </w:rPr>
      </w:pPr>
      <w:r w:rsidRPr="00F01B40">
        <w:rPr>
          <w:i w:val="0"/>
          <w:sz w:val="22"/>
          <w:szCs w:val="22"/>
        </w:rPr>
        <w:lastRenderedPageBreak/>
        <w:t>Altre modifiche</w:t>
      </w:r>
      <w:r>
        <w:rPr>
          <w:i w:val="0"/>
          <w:sz w:val="22"/>
          <w:szCs w:val="22"/>
        </w:rPr>
        <w:t xml:space="preserve"> sono costituite dal </w:t>
      </w:r>
      <w:r w:rsidRPr="00A718B4">
        <w:rPr>
          <w:b/>
          <w:i w:val="0"/>
          <w:sz w:val="22"/>
          <w:szCs w:val="22"/>
        </w:rPr>
        <w:t>focus sui risultati</w:t>
      </w:r>
      <w:r>
        <w:rPr>
          <w:i w:val="0"/>
          <w:sz w:val="22"/>
          <w:szCs w:val="22"/>
        </w:rPr>
        <w:t xml:space="preserve">, </w:t>
      </w:r>
      <w:r w:rsidRPr="00927330">
        <w:rPr>
          <w:i w:val="0"/>
          <w:sz w:val="22"/>
          <w:szCs w:val="22"/>
        </w:rPr>
        <w:t>compres</w:t>
      </w:r>
      <w:r>
        <w:rPr>
          <w:i w:val="0"/>
          <w:sz w:val="22"/>
          <w:szCs w:val="22"/>
        </w:rPr>
        <w:t xml:space="preserve">i i target definiti nel </w:t>
      </w:r>
      <w:r w:rsidRPr="001B3E59">
        <w:rPr>
          <w:sz w:val="22"/>
          <w:szCs w:val="22"/>
        </w:rPr>
        <w:t xml:space="preserve">performance </w:t>
      </w:r>
      <w:proofErr w:type="spellStart"/>
      <w:r w:rsidRPr="001B3E59">
        <w:rPr>
          <w:sz w:val="22"/>
          <w:szCs w:val="22"/>
        </w:rPr>
        <w:t>framework</w:t>
      </w:r>
      <w:proofErr w:type="spellEnd"/>
      <w:r>
        <w:rPr>
          <w:i w:val="0"/>
          <w:sz w:val="22"/>
          <w:szCs w:val="22"/>
        </w:rPr>
        <w:t xml:space="preserve"> </w:t>
      </w:r>
      <w:r w:rsidRPr="00927330">
        <w:rPr>
          <w:i w:val="0"/>
          <w:sz w:val="22"/>
          <w:szCs w:val="22"/>
        </w:rPr>
        <w:t xml:space="preserve">e </w:t>
      </w:r>
      <w:r>
        <w:rPr>
          <w:i w:val="0"/>
          <w:sz w:val="22"/>
          <w:szCs w:val="22"/>
        </w:rPr>
        <w:t>su</w:t>
      </w:r>
      <w:r w:rsidRPr="00927330">
        <w:rPr>
          <w:i w:val="0"/>
          <w:sz w:val="22"/>
          <w:szCs w:val="22"/>
        </w:rPr>
        <w:t>ll'adempimento delle condizionalità ex ante</w:t>
      </w:r>
      <w:r>
        <w:rPr>
          <w:i w:val="0"/>
          <w:sz w:val="22"/>
          <w:szCs w:val="22"/>
        </w:rPr>
        <w:t xml:space="preserve"> non soddisfatte, e</w:t>
      </w:r>
      <w:r w:rsidRPr="00927330">
        <w:rPr>
          <w:i w:val="0"/>
          <w:sz w:val="22"/>
          <w:szCs w:val="22"/>
        </w:rPr>
        <w:t xml:space="preserve"> sul </w:t>
      </w:r>
      <w:r w:rsidRPr="00204E03">
        <w:rPr>
          <w:b/>
          <w:i w:val="0"/>
          <w:sz w:val="22"/>
          <w:szCs w:val="22"/>
        </w:rPr>
        <w:t>contributo alla strategia dell'Unione</w:t>
      </w:r>
      <w:r w:rsidRPr="00927330">
        <w:rPr>
          <w:i w:val="0"/>
          <w:sz w:val="22"/>
          <w:szCs w:val="22"/>
        </w:rPr>
        <w:t xml:space="preserve"> per una crescita intelligente, sostenibile e inclusiva</w:t>
      </w:r>
      <w:r>
        <w:rPr>
          <w:i w:val="0"/>
          <w:sz w:val="22"/>
          <w:szCs w:val="22"/>
        </w:rPr>
        <w:t xml:space="preserve">. </w:t>
      </w:r>
    </w:p>
    <w:p w:rsidR="00B625B8" w:rsidRDefault="00F34DFA" w:rsidP="00F34DFA">
      <w:pPr>
        <w:pStyle w:val="Titolo6"/>
        <w:rPr>
          <w:i w:val="0"/>
          <w:sz w:val="22"/>
          <w:szCs w:val="22"/>
        </w:rPr>
      </w:pPr>
      <w:r w:rsidRPr="000308B5">
        <w:rPr>
          <w:i w:val="0"/>
          <w:sz w:val="22"/>
          <w:szCs w:val="22"/>
        </w:rPr>
        <w:t xml:space="preserve">La </w:t>
      </w:r>
      <w:r w:rsidRPr="00FD5799">
        <w:rPr>
          <w:i w:val="0"/>
          <w:sz w:val="22"/>
          <w:szCs w:val="22"/>
        </w:rPr>
        <w:t xml:space="preserve">relazione di attuazione </w:t>
      </w:r>
      <w:r w:rsidR="00B36CA1">
        <w:rPr>
          <w:i w:val="0"/>
          <w:sz w:val="22"/>
          <w:szCs w:val="22"/>
        </w:rPr>
        <w:t xml:space="preserve">dal 2017 </w:t>
      </w:r>
      <w:r w:rsidRPr="00FD5799">
        <w:rPr>
          <w:i w:val="0"/>
          <w:sz w:val="22"/>
          <w:szCs w:val="22"/>
        </w:rPr>
        <w:t>dovrà</w:t>
      </w:r>
      <w:r w:rsidRPr="000308B5">
        <w:rPr>
          <w:i w:val="0"/>
          <w:sz w:val="22"/>
          <w:szCs w:val="22"/>
        </w:rPr>
        <w:t xml:space="preserve"> </w:t>
      </w:r>
      <w:r>
        <w:rPr>
          <w:i w:val="0"/>
          <w:sz w:val="22"/>
          <w:szCs w:val="22"/>
        </w:rPr>
        <w:t xml:space="preserve">infatti </w:t>
      </w:r>
      <w:r w:rsidRPr="000308B5">
        <w:rPr>
          <w:i w:val="0"/>
          <w:sz w:val="22"/>
          <w:szCs w:val="22"/>
        </w:rPr>
        <w:t xml:space="preserve">dare evidenza dei progressi realizzati nel </w:t>
      </w:r>
      <w:r w:rsidRPr="00365646">
        <w:rPr>
          <w:b/>
          <w:i w:val="0"/>
          <w:sz w:val="22"/>
          <w:szCs w:val="22"/>
        </w:rPr>
        <w:t>conseguimento dei target intermedi</w:t>
      </w:r>
      <w:r w:rsidRPr="000308B5">
        <w:rPr>
          <w:i w:val="0"/>
          <w:sz w:val="22"/>
          <w:szCs w:val="22"/>
        </w:rPr>
        <w:t xml:space="preserve"> definiti nel quadro di riferimento dell’efficacia dell’attuazione (</w:t>
      </w:r>
      <w:r w:rsidRPr="000308B5">
        <w:rPr>
          <w:sz w:val="22"/>
          <w:szCs w:val="22"/>
        </w:rPr>
        <w:t>performance</w:t>
      </w:r>
      <w:r w:rsidRPr="000308B5">
        <w:rPr>
          <w:i w:val="0"/>
          <w:sz w:val="22"/>
          <w:szCs w:val="22"/>
        </w:rPr>
        <w:t xml:space="preserve"> </w:t>
      </w:r>
      <w:proofErr w:type="spellStart"/>
      <w:r w:rsidRPr="000308B5">
        <w:rPr>
          <w:sz w:val="22"/>
          <w:szCs w:val="22"/>
        </w:rPr>
        <w:t>framework</w:t>
      </w:r>
      <w:proofErr w:type="spellEnd"/>
      <w:proofErr w:type="gramStart"/>
      <w:r>
        <w:rPr>
          <w:i w:val="0"/>
          <w:sz w:val="22"/>
          <w:szCs w:val="22"/>
        </w:rPr>
        <w:t>),</w:t>
      </w:r>
      <w:r w:rsidRPr="000308B5">
        <w:rPr>
          <w:i w:val="0"/>
          <w:sz w:val="22"/>
          <w:szCs w:val="22"/>
        </w:rPr>
        <w:t>.</w:t>
      </w:r>
      <w:proofErr w:type="gramEnd"/>
      <w:r w:rsidRPr="000308B5">
        <w:rPr>
          <w:i w:val="0"/>
          <w:sz w:val="22"/>
          <w:szCs w:val="22"/>
        </w:rPr>
        <w:t xml:space="preserve"> </w:t>
      </w:r>
    </w:p>
    <w:p w:rsidR="00C42B7D" w:rsidRDefault="00F34DFA" w:rsidP="00F34DFA">
      <w:pPr>
        <w:pStyle w:val="Titolo6"/>
        <w:rPr>
          <w:i w:val="0"/>
          <w:sz w:val="22"/>
          <w:szCs w:val="22"/>
        </w:rPr>
      </w:pPr>
      <w:r w:rsidRPr="00FD5799">
        <w:rPr>
          <w:i w:val="0"/>
          <w:sz w:val="22"/>
          <w:szCs w:val="22"/>
        </w:rPr>
        <w:t>La relazione annuale del</w:t>
      </w:r>
      <w:r w:rsidRPr="00FD5799">
        <w:rPr>
          <w:b/>
          <w:i w:val="0"/>
          <w:sz w:val="22"/>
          <w:szCs w:val="22"/>
        </w:rPr>
        <w:t xml:space="preserve"> 2019 </w:t>
      </w:r>
      <w:r w:rsidRPr="00FD5799">
        <w:rPr>
          <w:i w:val="0"/>
          <w:sz w:val="22"/>
          <w:szCs w:val="22"/>
        </w:rPr>
        <w:t>e la</w:t>
      </w:r>
      <w:r w:rsidRPr="00FD5799">
        <w:rPr>
          <w:b/>
          <w:i w:val="0"/>
          <w:sz w:val="22"/>
          <w:szCs w:val="22"/>
        </w:rPr>
        <w:t xml:space="preserve"> </w:t>
      </w:r>
      <w:r w:rsidRPr="00FD5799">
        <w:rPr>
          <w:i w:val="0"/>
          <w:sz w:val="22"/>
          <w:szCs w:val="22"/>
        </w:rPr>
        <w:t>relazione finale dovranno comprendere, altresì, informazioni e valutazioni sui progressi nel conseguimento degli obiettivi</w:t>
      </w:r>
      <w:r>
        <w:rPr>
          <w:i w:val="0"/>
          <w:sz w:val="22"/>
          <w:szCs w:val="22"/>
        </w:rPr>
        <w:t xml:space="preserve"> del programma e sul suo </w:t>
      </w:r>
      <w:r w:rsidRPr="00FF3AA8">
        <w:rPr>
          <w:b/>
          <w:i w:val="0"/>
          <w:sz w:val="22"/>
          <w:szCs w:val="22"/>
        </w:rPr>
        <w:t xml:space="preserve">contributo </w:t>
      </w:r>
      <w:r w:rsidRPr="00F52C3E">
        <w:rPr>
          <w:i w:val="0"/>
          <w:sz w:val="22"/>
          <w:szCs w:val="22"/>
        </w:rPr>
        <w:t>alla realizzazione della</w:t>
      </w:r>
      <w:r w:rsidRPr="00FF3AA8">
        <w:rPr>
          <w:b/>
          <w:i w:val="0"/>
          <w:sz w:val="22"/>
          <w:szCs w:val="22"/>
        </w:rPr>
        <w:t xml:space="preserve"> strategia UE 2020</w:t>
      </w:r>
      <w:r>
        <w:rPr>
          <w:i w:val="0"/>
          <w:sz w:val="22"/>
          <w:szCs w:val="22"/>
        </w:rPr>
        <w:t xml:space="preserve">. </w:t>
      </w:r>
    </w:p>
    <w:p w:rsidR="00F34DFA" w:rsidRDefault="00F34DFA" w:rsidP="00F34DFA">
      <w:pPr>
        <w:pStyle w:val="Titolo6"/>
        <w:rPr>
          <w:i w:val="0"/>
          <w:sz w:val="22"/>
          <w:szCs w:val="22"/>
        </w:rPr>
      </w:pPr>
      <w:r>
        <w:rPr>
          <w:i w:val="0"/>
          <w:sz w:val="22"/>
          <w:szCs w:val="22"/>
        </w:rPr>
        <w:t xml:space="preserve">I rapporti annuali del 2017 e del 2019 dovranno in aggiunta </w:t>
      </w:r>
      <w:r w:rsidRPr="00797054">
        <w:rPr>
          <w:i w:val="0"/>
          <w:sz w:val="22"/>
          <w:szCs w:val="22"/>
        </w:rPr>
        <w:t>dar conto dei progressi realizzati nell’attuazione del piano di valutazione e il seguito dato al</w:t>
      </w:r>
      <w:r>
        <w:rPr>
          <w:i w:val="0"/>
          <w:sz w:val="22"/>
          <w:szCs w:val="22"/>
        </w:rPr>
        <w:t xml:space="preserve">le risultanze delle valutazioni, </w:t>
      </w:r>
      <w:r w:rsidRPr="00797054">
        <w:rPr>
          <w:i w:val="0"/>
          <w:sz w:val="22"/>
          <w:szCs w:val="22"/>
        </w:rPr>
        <w:t xml:space="preserve">come pure </w:t>
      </w:r>
      <w:r>
        <w:rPr>
          <w:i w:val="0"/>
          <w:sz w:val="22"/>
          <w:szCs w:val="22"/>
        </w:rPr>
        <w:t xml:space="preserve">dei risultati delle misure di informazione e pubblicità promosse nell’ambito della strategia di comunicazione. </w:t>
      </w:r>
    </w:p>
    <w:p w:rsidR="001F6FC0" w:rsidRPr="001F6FC0" w:rsidRDefault="001F6FC0" w:rsidP="00F34DFA">
      <w:pPr>
        <w:jc w:val="both"/>
        <w:rPr>
          <w:rFonts w:ascii="Times New Roman" w:eastAsia="Times New Roman" w:hAnsi="Times New Roman" w:cs="Times New Roman"/>
          <w:iCs/>
          <w:sz w:val="16"/>
          <w:lang w:eastAsia="it-IT"/>
        </w:rPr>
      </w:pPr>
    </w:p>
    <w:p w:rsidR="00F34DFA" w:rsidRDefault="00F34DFA" w:rsidP="00F34DFA">
      <w:pPr>
        <w:jc w:val="both"/>
        <w:rPr>
          <w:rFonts w:ascii="Times New Roman" w:eastAsia="Times New Roman" w:hAnsi="Times New Roman" w:cs="Times New Roman"/>
          <w:iCs/>
          <w:lang w:eastAsia="it-IT"/>
        </w:rPr>
      </w:pPr>
      <w:r w:rsidRPr="0056151A">
        <w:rPr>
          <w:rFonts w:ascii="Times New Roman" w:eastAsia="Times New Roman" w:hAnsi="Times New Roman" w:cs="Times New Roman"/>
          <w:iCs/>
          <w:lang w:eastAsia="it-IT"/>
        </w:rPr>
        <w:t>Particolare rilievo è attribuit</w:t>
      </w:r>
      <w:r>
        <w:rPr>
          <w:rFonts w:ascii="Times New Roman" w:eastAsia="Times New Roman" w:hAnsi="Times New Roman" w:cs="Times New Roman"/>
          <w:iCs/>
          <w:lang w:eastAsia="it-IT"/>
        </w:rPr>
        <w:t>o</w:t>
      </w:r>
      <w:r w:rsidRPr="0056151A">
        <w:rPr>
          <w:rFonts w:ascii="Times New Roman" w:eastAsia="Times New Roman" w:hAnsi="Times New Roman" w:cs="Times New Roman"/>
          <w:iCs/>
          <w:lang w:eastAsia="it-IT"/>
        </w:rPr>
        <w:t xml:space="preserve"> alla nuova iniziativa europea per favorire l’occupazione giovanile</w:t>
      </w:r>
      <w:r>
        <w:rPr>
          <w:rFonts w:ascii="Times New Roman" w:eastAsia="Times New Roman" w:hAnsi="Times New Roman" w:cs="Times New Roman"/>
          <w:iCs/>
          <w:lang w:eastAsia="it-IT"/>
        </w:rPr>
        <w:t xml:space="preserve"> (</w:t>
      </w:r>
      <w:r w:rsidRPr="0056151A">
        <w:rPr>
          <w:rFonts w:ascii="Times New Roman" w:eastAsia="Times New Roman" w:hAnsi="Times New Roman" w:cs="Times New Roman"/>
          <w:b/>
          <w:iCs/>
          <w:lang w:eastAsia="it-IT"/>
        </w:rPr>
        <w:t>YEI)</w:t>
      </w:r>
      <w:r>
        <w:rPr>
          <w:rFonts w:ascii="Times New Roman" w:eastAsia="Times New Roman" w:hAnsi="Times New Roman" w:cs="Times New Roman"/>
          <w:iCs/>
          <w:lang w:eastAsia="it-IT"/>
        </w:rPr>
        <w:t xml:space="preserve"> rispetto alla quale i </w:t>
      </w:r>
      <w:r w:rsidRPr="00FD5799">
        <w:rPr>
          <w:rFonts w:ascii="Times New Roman" w:eastAsia="Times New Roman" w:hAnsi="Times New Roman" w:cs="Times New Roman"/>
          <w:b/>
          <w:iCs/>
          <w:lang w:eastAsia="it-IT"/>
        </w:rPr>
        <w:t>rapporti annuali</w:t>
      </w:r>
      <w:r>
        <w:rPr>
          <w:rFonts w:ascii="Times New Roman" w:eastAsia="Times New Roman" w:hAnsi="Times New Roman" w:cs="Times New Roman"/>
          <w:iCs/>
          <w:lang w:eastAsia="it-IT"/>
        </w:rPr>
        <w:t xml:space="preserve"> dovranno contenere</w:t>
      </w:r>
      <w:r w:rsidR="00E22B39">
        <w:rPr>
          <w:rFonts w:ascii="Times New Roman" w:eastAsia="Times New Roman" w:hAnsi="Times New Roman" w:cs="Times New Roman"/>
          <w:iCs/>
          <w:lang w:eastAsia="it-IT"/>
        </w:rPr>
        <w:t>:</w:t>
      </w:r>
      <w:r>
        <w:rPr>
          <w:rFonts w:ascii="Times New Roman" w:eastAsia="Times New Roman" w:hAnsi="Times New Roman" w:cs="Times New Roman"/>
          <w:iCs/>
          <w:lang w:eastAsia="it-IT"/>
        </w:rPr>
        <w:t xml:space="preserve"> le principali </w:t>
      </w:r>
      <w:r w:rsidRPr="0056151A">
        <w:rPr>
          <w:rFonts w:ascii="Times New Roman" w:eastAsia="Times New Roman" w:hAnsi="Times New Roman" w:cs="Times New Roman"/>
          <w:b/>
          <w:iCs/>
          <w:lang w:eastAsia="it-IT"/>
        </w:rPr>
        <w:t>risultanze della valutazione</w:t>
      </w:r>
      <w:r>
        <w:rPr>
          <w:rFonts w:ascii="Times New Roman" w:eastAsia="Times New Roman" w:hAnsi="Times New Roman" w:cs="Times New Roman"/>
          <w:iCs/>
          <w:lang w:eastAsia="it-IT"/>
        </w:rPr>
        <w:t xml:space="preserve"> di efficacia/efficienza e dell’impatto del supporto congiunto del FSE e della </w:t>
      </w:r>
      <w:r w:rsidR="00E22B39">
        <w:rPr>
          <w:rFonts w:ascii="Times New Roman" w:eastAsia="Times New Roman" w:hAnsi="Times New Roman" w:cs="Times New Roman"/>
          <w:iCs/>
          <w:lang w:eastAsia="it-IT"/>
        </w:rPr>
        <w:t xml:space="preserve">dotazione specifica per la YEI; </w:t>
      </w:r>
      <w:r w:rsidRPr="0056151A">
        <w:rPr>
          <w:rFonts w:ascii="Times New Roman" w:eastAsia="Times New Roman" w:hAnsi="Times New Roman" w:cs="Times New Roman"/>
          <w:iCs/>
          <w:lang w:eastAsia="it-IT"/>
        </w:rPr>
        <w:t>l’</w:t>
      </w:r>
      <w:r w:rsidRPr="0056151A">
        <w:rPr>
          <w:rFonts w:ascii="Times New Roman" w:eastAsia="Times New Roman" w:hAnsi="Times New Roman" w:cs="Times New Roman"/>
          <w:b/>
          <w:iCs/>
          <w:lang w:eastAsia="it-IT"/>
        </w:rPr>
        <w:t>attuazione della garanzia</w:t>
      </w:r>
      <w:r>
        <w:rPr>
          <w:rFonts w:ascii="Times New Roman" w:eastAsia="Times New Roman" w:hAnsi="Times New Roman" w:cs="Times New Roman"/>
          <w:iCs/>
          <w:lang w:eastAsia="it-IT"/>
        </w:rPr>
        <w:t xml:space="preserve"> per i giovani. Tali relazioni dovranno fornire altresì informazioni e valutazioni in merito alla </w:t>
      </w:r>
      <w:r w:rsidRPr="00AB36B7">
        <w:rPr>
          <w:rFonts w:ascii="Times New Roman" w:eastAsia="Times New Roman" w:hAnsi="Times New Roman" w:cs="Times New Roman"/>
          <w:b/>
          <w:iCs/>
          <w:lang w:eastAsia="it-IT"/>
        </w:rPr>
        <w:t>qualità delle offerte di lavoro</w:t>
      </w:r>
      <w:r>
        <w:rPr>
          <w:rFonts w:ascii="Times New Roman" w:eastAsia="Times New Roman" w:hAnsi="Times New Roman" w:cs="Times New Roman"/>
          <w:iCs/>
          <w:lang w:eastAsia="it-IT"/>
        </w:rPr>
        <w:t xml:space="preserve"> ricevute dai partecipanti alla YEI (cfr. art. 19 comma 4 Reg. FSE 1304/2013).</w:t>
      </w:r>
    </w:p>
    <w:p w:rsidR="00D93026" w:rsidRDefault="00F34DFA" w:rsidP="00F27BBD">
      <w:pPr>
        <w:jc w:val="both"/>
        <w:rPr>
          <w:rFonts w:ascii="Times New Roman" w:eastAsia="Times New Roman" w:hAnsi="Times New Roman" w:cs="Times New Roman"/>
          <w:iCs/>
          <w:lang w:eastAsia="it-IT"/>
        </w:rPr>
      </w:pPr>
      <w:r w:rsidRPr="00DB435D">
        <w:rPr>
          <w:rFonts w:ascii="Times New Roman" w:eastAsia="Times New Roman" w:hAnsi="Times New Roman" w:cs="Times New Roman"/>
          <w:iCs/>
          <w:lang w:eastAsia="it-IT"/>
        </w:rPr>
        <w:t xml:space="preserve">In </w:t>
      </w:r>
      <w:r w:rsidRPr="00FD5799">
        <w:rPr>
          <w:rFonts w:ascii="Times New Roman" w:eastAsia="Times New Roman" w:hAnsi="Times New Roman" w:cs="Times New Roman"/>
          <w:iCs/>
          <w:lang w:eastAsia="it-IT"/>
        </w:rPr>
        <w:t xml:space="preserve">ragione del maggior rilievo strategico conferito al partenariato nella futura programmazione dei Fondi, le </w:t>
      </w:r>
      <w:r w:rsidRPr="00FD5799">
        <w:rPr>
          <w:rFonts w:ascii="Times New Roman" w:eastAsia="Times New Roman" w:hAnsi="Times New Roman" w:cs="Times New Roman"/>
          <w:b/>
          <w:iCs/>
          <w:lang w:eastAsia="it-IT"/>
        </w:rPr>
        <w:t>relazioni di attuazione</w:t>
      </w:r>
      <w:r w:rsidRPr="00FD5799">
        <w:rPr>
          <w:rFonts w:ascii="Times New Roman" w:eastAsia="Times New Roman" w:hAnsi="Times New Roman" w:cs="Times New Roman"/>
          <w:iCs/>
          <w:lang w:eastAsia="it-IT"/>
        </w:rPr>
        <w:t xml:space="preserve"> del </w:t>
      </w:r>
      <w:r w:rsidRPr="00FD5799">
        <w:rPr>
          <w:rFonts w:ascii="Times New Roman" w:eastAsia="Times New Roman" w:hAnsi="Times New Roman" w:cs="Times New Roman"/>
          <w:b/>
          <w:iCs/>
          <w:lang w:eastAsia="it-IT"/>
        </w:rPr>
        <w:t>2017</w:t>
      </w:r>
      <w:r w:rsidRPr="00FD5799">
        <w:rPr>
          <w:rFonts w:ascii="Times New Roman" w:eastAsia="Times New Roman" w:hAnsi="Times New Roman" w:cs="Times New Roman"/>
          <w:iCs/>
          <w:lang w:eastAsia="it-IT"/>
        </w:rPr>
        <w:t xml:space="preserve"> e del </w:t>
      </w:r>
      <w:r w:rsidRPr="00FD5799">
        <w:rPr>
          <w:rFonts w:ascii="Times New Roman" w:eastAsia="Times New Roman" w:hAnsi="Times New Roman" w:cs="Times New Roman"/>
          <w:b/>
          <w:iCs/>
          <w:lang w:eastAsia="it-IT"/>
        </w:rPr>
        <w:t>2019</w:t>
      </w:r>
      <w:r w:rsidRPr="00FD5799">
        <w:rPr>
          <w:rFonts w:ascii="Times New Roman" w:eastAsia="Times New Roman" w:hAnsi="Times New Roman" w:cs="Times New Roman"/>
          <w:iCs/>
          <w:lang w:eastAsia="it-IT"/>
        </w:rPr>
        <w:t xml:space="preserve"> dovranno dare un riscontro in merito al </w:t>
      </w:r>
      <w:r w:rsidRPr="00FD5799">
        <w:rPr>
          <w:rFonts w:ascii="Times New Roman" w:eastAsia="Times New Roman" w:hAnsi="Times New Roman" w:cs="Times New Roman"/>
          <w:b/>
          <w:iCs/>
          <w:lang w:eastAsia="it-IT"/>
        </w:rPr>
        <w:t>coinvolgimento dei partner</w:t>
      </w:r>
      <w:r w:rsidRPr="00FD5799">
        <w:rPr>
          <w:rFonts w:ascii="Times New Roman" w:eastAsia="Times New Roman" w:hAnsi="Times New Roman" w:cs="Times New Roman"/>
          <w:iCs/>
          <w:lang w:eastAsia="it-IT"/>
        </w:rPr>
        <w:t xml:space="preserve"> nelle fasi di attuazione, sorveglianza</w:t>
      </w:r>
      <w:r>
        <w:rPr>
          <w:rFonts w:ascii="Times New Roman" w:eastAsia="Times New Roman" w:hAnsi="Times New Roman" w:cs="Times New Roman"/>
          <w:iCs/>
          <w:lang w:eastAsia="it-IT"/>
        </w:rPr>
        <w:t xml:space="preserve"> e valutazione del programma. </w:t>
      </w:r>
    </w:p>
    <w:p w:rsidR="00F34DFA" w:rsidRDefault="000978CE" w:rsidP="00F34DFA">
      <w:pPr>
        <w:pStyle w:val="Titolo6"/>
        <w:rPr>
          <w:i w:val="0"/>
          <w:sz w:val="22"/>
          <w:szCs w:val="22"/>
        </w:rPr>
      </w:pPr>
      <w:r w:rsidRPr="00FD5799">
        <w:rPr>
          <w:i w:val="0"/>
          <w:sz w:val="22"/>
          <w:szCs w:val="22"/>
        </w:rPr>
        <w:t xml:space="preserve">Nella citata </w:t>
      </w:r>
      <w:r w:rsidR="00143AA3" w:rsidRPr="00FD5799">
        <w:rPr>
          <w:i w:val="0"/>
          <w:sz w:val="22"/>
          <w:szCs w:val="22"/>
        </w:rPr>
        <w:t>logica di</w:t>
      </w:r>
      <w:r w:rsidR="00F34DFA" w:rsidRPr="00FD5799">
        <w:rPr>
          <w:i w:val="0"/>
          <w:sz w:val="22"/>
          <w:szCs w:val="22"/>
        </w:rPr>
        <w:t xml:space="preserve"> semplificazione, alcuni elementi </w:t>
      </w:r>
      <w:r w:rsidR="00F355B2" w:rsidRPr="00FD5799">
        <w:rPr>
          <w:i w:val="0"/>
          <w:sz w:val="22"/>
          <w:szCs w:val="22"/>
        </w:rPr>
        <w:t xml:space="preserve">che erano parte integrante della reportistica nel 2007-‘13 </w:t>
      </w:r>
      <w:r w:rsidR="00F355B2" w:rsidRPr="00FD5799">
        <w:rPr>
          <w:b/>
          <w:i w:val="0"/>
          <w:sz w:val="22"/>
          <w:szCs w:val="22"/>
        </w:rPr>
        <w:t xml:space="preserve">non saranno necessarie </w:t>
      </w:r>
      <w:r w:rsidR="00F355B2" w:rsidRPr="00FD5799">
        <w:rPr>
          <w:i w:val="0"/>
          <w:sz w:val="22"/>
          <w:szCs w:val="22"/>
        </w:rPr>
        <w:t xml:space="preserve">nel periodo 2014-2020: </w:t>
      </w:r>
      <w:r w:rsidR="00F34DFA" w:rsidRPr="00FD5799">
        <w:rPr>
          <w:i w:val="0"/>
          <w:sz w:val="22"/>
          <w:szCs w:val="22"/>
        </w:rPr>
        <w:t>le informazioni sulla comp</w:t>
      </w:r>
      <w:r w:rsidR="00F355B2" w:rsidRPr="00FD5799">
        <w:rPr>
          <w:i w:val="0"/>
          <w:sz w:val="22"/>
          <w:szCs w:val="22"/>
        </w:rPr>
        <w:t>lementarità con altri strumenti;</w:t>
      </w:r>
      <w:r w:rsidR="00F34DFA" w:rsidRPr="00FD5799">
        <w:rPr>
          <w:i w:val="0"/>
          <w:sz w:val="22"/>
          <w:szCs w:val="22"/>
        </w:rPr>
        <w:t xml:space="preserve"> le modifiche sostanziali al programma</w:t>
      </w:r>
      <w:r w:rsidR="00F355B2" w:rsidRPr="00FD5799">
        <w:rPr>
          <w:i w:val="0"/>
          <w:sz w:val="22"/>
          <w:szCs w:val="22"/>
        </w:rPr>
        <w:t>;</w:t>
      </w:r>
      <w:r w:rsidR="00F34DFA" w:rsidRPr="00FD5799">
        <w:rPr>
          <w:i w:val="0"/>
          <w:sz w:val="22"/>
          <w:szCs w:val="22"/>
        </w:rPr>
        <w:t xml:space="preserve"> i problemi significativi riguardanti il rispetto del diritto comunitario incontrati in fase di attuazione e le misure attivate per risolverli</w:t>
      </w:r>
      <w:r w:rsidR="00F355B2">
        <w:rPr>
          <w:i w:val="0"/>
          <w:sz w:val="22"/>
          <w:szCs w:val="22"/>
        </w:rPr>
        <w:t xml:space="preserve">. </w:t>
      </w:r>
    </w:p>
    <w:p w:rsidR="00F34DFA" w:rsidRPr="00F31EA6" w:rsidRDefault="00F34DFA" w:rsidP="002C2AA5">
      <w:pPr>
        <w:jc w:val="both"/>
        <w:rPr>
          <w:rFonts w:ascii="Times New Roman" w:eastAsia="Times New Roman" w:hAnsi="Times New Roman" w:cs="Times New Roman"/>
          <w:iCs/>
          <w:lang w:eastAsia="it-IT"/>
        </w:rPr>
      </w:pPr>
      <w:r w:rsidRPr="00F31EA6">
        <w:rPr>
          <w:rFonts w:ascii="Times New Roman" w:eastAsia="Times New Roman" w:hAnsi="Times New Roman" w:cs="Times New Roman"/>
          <w:iCs/>
          <w:lang w:eastAsia="it-IT"/>
        </w:rPr>
        <w:t xml:space="preserve">Nell’ottica della trasparenza </w:t>
      </w:r>
      <w:r>
        <w:rPr>
          <w:rFonts w:ascii="Times New Roman" w:eastAsia="Times New Roman" w:hAnsi="Times New Roman" w:cs="Times New Roman"/>
          <w:iCs/>
          <w:lang w:eastAsia="it-IT"/>
        </w:rPr>
        <w:t xml:space="preserve">le relazioni di attuazione annuali e finali dovranno essere rese pubbliche, dovrà inoltre essere fornita una </w:t>
      </w:r>
      <w:r w:rsidRPr="00023B20">
        <w:rPr>
          <w:rFonts w:ascii="Times New Roman" w:eastAsia="Times New Roman" w:hAnsi="Times New Roman" w:cs="Times New Roman"/>
          <w:b/>
          <w:iCs/>
          <w:lang w:eastAsia="it-IT"/>
        </w:rPr>
        <w:t>sintesi per i cittadini</w:t>
      </w:r>
      <w:r>
        <w:rPr>
          <w:rFonts w:ascii="Times New Roman" w:eastAsia="Times New Roman" w:hAnsi="Times New Roman" w:cs="Times New Roman"/>
          <w:iCs/>
          <w:lang w:eastAsia="it-IT"/>
        </w:rPr>
        <w:t xml:space="preserve">.  </w:t>
      </w:r>
    </w:p>
    <w:p w:rsidR="00C63741" w:rsidRPr="00DB435D" w:rsidRDefault="00C63741" w:rsidP="00F34DFA">
      <w:pPr>
        <w:rPr>
          <w:rFonts w:ascii="Times New Roman" w:eastAsia="Times New Roman" w:hAnsi="Times New Roman" w:cs="Times New Roman"/>
          <w:iCs/>
          <w:lang w:eastAsia="it-IT"/>
        </w:rPr>
      </w:pPr>
    </w:p>
    <w:p w:rsidR="00DF1AE0" w:rsidRDefault="00DF1AE0" w:rsidP="00DF1AE0">
      <w:pPr>
        <w:pStyle w:val="Titolo6"/>
        <w:jc w:val="center"/>
      </w:pPr>
      <w:r w:rsidRPr="00F27437">
        <w:rPr>
          <w:b/>
          <w:bCs/>
          <w:i w:val="0"/>
          <w:iCs w:val="0"/>
          <w:sz w:val="22"/>
          <w:szCs w:val="22"/>
        </w:rPr>
        <w:t>Esame annuale dei programmi</w:t>
      </w:r>
      <w:r>
        <w:t xml:space="preserve"> </w:t>
      </w:r>
    </w:p>
    <w:p w:rsidR="00C63741" w:rsidRPr="00B26C5D" w:rsidRDefault="00C63741" w:rsidP="00DF1AE0">
      <w:pPr>
        <w:jc w:val="center"/>
        <w:rPr>
          <w:rFonts w:ascii="Times New Roman" w:hAnsi="Times New Roman" w:cs="Times New Roman"/>
          <w:i/>
          <w:lang w:eastAsia="it-IT"/>
        </w:rPr>
      </w:pPr>
      <w:r w:rsidRPr="00C63741">
        <w:rPr>
          <w:rFonts w:ascii="Times New Roman" w:hAnsi="Times New Roman" w:cs="Times New Roman"/>
          <w:i/>
          <w:lang w:eastAsia="it-IT"/>
        </w:rPr>
        <w:t xml:space="preserve"> [</w:t>
      </w:r>
      <w:proofErr w:type="gramStart"/>
      <w:r w:rsidRPr="00C63741">
        <w:rPr>
          <w:rFonts w:ascii="Times New Roman" w:hAnsi="Times New Roman" w:cs="Times New Roman"/>
          <w:i/>
          <w:lang w:eastAsia="it-IT"/>
        </w:rPr>
        <w:t>articol</w:t>
      </w:r>
      <w:r w:rsidR="00FD5799">
        <w:rPr>
          <w:rFonts w:ascii="Times New Roman" w:hAnsi="Times New Roman" w:cs="Times New Roman"/>
          <w:i/>
          <w:lang w:eastAsia="it-IT"/>
        </w:rPr>
        <w:t>i</w:t>
      </w:r>
      <w:proofErr w:type="gramEnd"/>
      <w:r w:rsidRPr="00C63741">
        <w:rPr>
          <w:rFonts w:ascii="Times New Roman" w:hAnsi="Times New Roman" w:cs="Times New Roman"/>
          <w:i/>
          <w:lang w:eastAsia="it-IT"/>
        </w:rPr>
        <w:t xml:space="preserve"> 5</w:t>
      </w:r>
      <w:r>
        <w:rPr>
          <w:rFonts w:ascii="Times New Roman" w:hAnsi="Times New Roman" w:cs="Times New Roman"/>
          <w:i/>
          <w:lang w:eastAsia="it-IT"/>
        </w:rPr>
        <w:t>1</w:t>
      </w:r>
      <w:r w:rsidRPr="00C63741">
        <w:rPr>
          <w:rFonts w:ascii="Times New Roman" w:hAnsi="Times New Roman" w:cs="Times New Roman"/>
          <w:i/>
          <w:lang w:eastAsia="it-IT"/>
        </w:rPr>
        <w:t xml:space="preserve"> e 111 Regolamento Disposizioni Comuni]</w:t>
      </w:r>
    </w:p>
    <w:p w:rsidR="00DF1AE0" w:rsidRPr="00FD5799" w:rsidRDefault="00DF1AE0" w:rsidP="00DF1AE0">
      <w:pPr>
        <w:jc w:val="both"/>
        <w:rPr>
          <w:rFonts w:ascii="Times New Roman" w:hAnsi="Times New Roman" w:cs="Times New Roman"/>
          <w:lang w:eastAsia="it-IT"/>
        </w:rPr>
      </w:pPr>
      <w:r>
        <w:rPr>
          <w:rFonts w:ascii="Times New Roman" w:hAnsi="Times New Roman" w:cs="Times New Roman"/>
          <w:lang w:eastAsia="it-IT"/>
        </w:rPr>
        <w:t xml:space="preserve">In </w:t>
      </w:r>
      <w:r w:rsidRPr="00FD5799">
        <w:rPr>
          <w:rFonts w:ascii="Times New Roman" w:hAnsi="Times New Roman" w:cs="Times New Roman"/>
          <w:lang w:eastAsia="it-IT"/>
        </w:rPr>
        <w:t xml:space="preserve">continuità con l’attuale periodo, ogni anno a partire dal 2016 e fino al 2023 compreso, è organizzata una </w:t>
      </w:r>
      <w:r w:rsidRPr="00FD5799">
        <w:rPr>
          <w:rFonts w:ascii="Times New Roman" w:hAnsi="Times New Roman" w:cs="Times New Roman"/>
          <w:b/>
          <w:lang w:eastAsia="it-IT"/>
        </w:rPr>
        <w:t>riunione annuale di riesame</w:t>
      </w:r>
      <w:r w:rsidRPr="00FD5799">
        <w:rPr>
          <w:rFonts w:ascii="Times New Roman" w:hAnsi="Times New Roman" w:cs="Times New Roman"/>
          <w:lang w:eastAsia="it-IT"/>
        </w:rPr>
        <w:t xml:space="preserve"> tra la Commissione e ciascuno Stato membro, al fine di esaminare i risultati di ciascun programma. </w:t>
      </w:r>
    </w:p>
    <w:p w:rsidR="0028034A" w:rsidRPr="00FD5799" w:rsidRDefault="00DF1AE0" w:rsidP="00DF1AE0">
      <w:pPr>
        <w:jc w:val="both"/>
        <w:rPr>
          <w:rFonts w:ascii="Times New Roman" w:hAnsi="Times New Roman" w:cs="Times New Roman"/>
          <w:lang w:eastAsia="it-IT"/>
        </w:rPr>
      </w:pPr>
      <w:r w:rsidRPr="00FD5799">
        <w:rPr>
          <w:rFonts w:ascii="Times New Roman" w:hAnsi="Times New Roman" w:cs="Times New Roman"/>
          <w:lang w:eastAsia="it-IT"/>
        </w:rPr>
        <w:t xml:space="preserve">Tra gli </w:t>
      </w:r>
      <w:r w:rsidR="002C2AA5">
        <w:rPr>
          <w:rFonts w:ascii="Times New Roman" w:hAnsi="Times New Roman" w:cs="Times New Roman"/>
          <w:lang w:eastAsia="it-IT"/>
        </w:rPr>
        <w:t>elementi di novità per il 2014-20</w:t>
      </w:r>
      <w:r w:rsidRPr="00FD5799">
        <w:rPr>
          <w:rFonts w:ascii="Times New Roman" w:hAnsi="Times New Roman" w:cs="Times New Roman"/>
          <w:lang w:eastAsia="it-IT"/>
        </w:rPr>
        <w:t>20 si segnala che l’incontro annuale di riesame può riguardare</w:t>
      </w:r>
      <w:r w:rsidRPr="00FD5799">
        <w:rPr>
          <w:rFonts w:ascii="Times New Roman" w:hAnsi="Times New Roman" w:cs="Times New Roman"/>
          <w:b/>
          <w:lang w:eastAsia="it-IT"/>
        </w:rPr>
        <w:t xml:space="preserve"> più di un programma</w:t>
      </w:r>
      <w:r w:rsidRPr="00FD5799">
        <w:rPr>
          <w:rFonts w:ascii="Times New Roman" w:hAnsi="Times New Roman" w:cs="Times New Roman"/>
          <w:lang w:eastAsia="it-IT"/>
        </w:rPr>
        <w:t xml:space="preserve">; le riunioni di riesame del </w:t>
      </w:r>
      <w:r w:rsidRPr="00FD5799">
        <w:rPr>
          <w:rFonts w:ascii="Times New Roman" w:hAnsi="Times New Roman" w:cs="Times New Roman"/>
          <w:b/>
          <w:lang w:eastAsia="it-IT"/>
        </w:rPr>
        <w:t>2017</w:t>
      </w:r>
      <w:r w:rsidRPr="00FD5799">
        <w:rPr>
          <w:rFonts w:ascii="Times New Roman" w:hAnsi="Times New Roman" w:cs="Times New Roman"/>
          <w:lang w:eastAsia="it-IT"/>
        </w:rPr>
        <w:t xml:space="preserve"> e del </w:t>
      </w:r>
      <w:r w:rsidRPr="00FD5799">
        <w:rPr>
          <w:rFonts w:ascii="Times New Roman" w:hAnsi="Times New Roman" w:cs="Times New Roman"/>
          <w:b/>
          <w:lang w:eastAsia="it-IT"/>
        </w:rPr>
        <w:t>2019</w:t>
      </w:r>
      <w:r w:rsidR="00C34061" w:rsidRPr="00FD5799">
        <w:rPr>
          <w:rFonts w:ascii="Times New Roman" w:hAnsi="Times New Roman" w:cs="Times New Roman"/>
          <w:lang w:eastAsia="it-IT"/>
        </w:rPr>
        <w:t>, inoltre, copriranno</w:t>
      </w:r>
      <w:r w:rsidRPr="00FD5799">
        <w:rPr>
          <w:rFonts w:ascii="Times New Roman" w:hAnsi="Times New Roman" w:cs="Times New Roman"/>
          <w:lang w:eastAsia="it-IT"/>
        </w:rPr>
        <w:t xml:space="preserve"> </w:t>
      </w:r>
      <w:r w:rsidRPr="00FD5799">
        <w:rPr>
          <w:rFonts w:ascii="Times New Roman" w:hAnsi="Times New Roman" w:cs="Times New Roman"/>
          <w:b/>
          <w:lang w:eastAsia="it-IT"/>
        </w:rPr>
        <w:t>tutti i programmi in atto nello Stato membro</w:t>
      </w:r>
      <w:r w:rsidRPr="00FD5799">
        <w:rPr>
          <w:rFonts w:ascii="Times New Roman" w:hAnsi="Times New Roman" w:cs="Times New Roman"/>
          <w:lang w:eastAsia="it-IT"/>
        </w:rPr>
        <w:t>.</w:t>
      </w:r>
      <w:r w:rsidRPr="00FD5799">
        <w:rPr>
          <w:rFonts w:ascii="Times New Roman" w:hAnsi="Times New Roman" w:cs="Times New Roman"/>
          <w:sz w:val="19"/>
          <w:szCs w:val="19"/>
        </w:rPr>
        <w:t xml:space="preserve"> </w:t>
      </w:r>
      <w:r w:rsidRPr="00FD5799">
        <w:rPr>
          <w:rFonts w:ascii="Times New Roman" w:hAnsi="Times New Roman" w:cs="Times New Roman"/>
          <w:lang w:eastAsia="it-IT"/>
        </w:rPr>
        <w:t>Lo Stato membro e la Commissione possono convenire</w:t>
      </w:r>
      <w:r w:rsidR="00561BEE" w:rsidRPr="00FD5799">
        <w:rPr>
          <w:rFonts w:ascii="Times New Roman" w:hAnsi="Times New Roman" w:cs="Times New Roman"/>
          <w:sz w:val="20"/>
          <w:lang w:eastAsia="it-IT"/>
        </w:rPr>
        <w:t xml:space="preserve"> </w:t>
      </w:r>
      <w:r w:rsidRPr="00FD5799">
        <w:rPr>
          <w:rFonts w:ascii="Times New Roman" w:hAnsi="Times New Roman" w:cs="Times New Roman"/>
          <w:sz w:val="20"/>
          <w:lang w:eastAsia="it-IT"/>
        </w:rPr>
        <w:t xml:space="preserve">di organizzare </w:t>
      </w:r>
      <w:r w:rsidRPr="00FD5799">
        <w:rPr>
          <w:rFonts w:ascii="Times New Roman" w:hAnsi="Times New Roman" w:cs="Times New Roman"/>
          <w:lang w:eastAsia="it-IT"/>
        </w:rPr>
        <w:t xml:space="preserve">la riunione annuale di riesame relativa a un programma unicamente nel 2017 e 2019. </w:t>
      </w:r>
    </w:p>
    <w:p w:rsidR="00B05687" w:rsidRDefault="00B05687" w:rsidP="00B05687">
      <w:pPr>
        <w:pStyle w:val="Titolo6"/>
        <w:rPr>
          <w:b/>
          <w:bCs/>
          <w:i w:val="0"/>
          <w:iCs w:val="0"/>
          <w:sz w:val="22"/>
          <w:szCs w:val="22"/>
        </w:rPr>
      </w:pPr>
    </w:p>
    <w:p w:rsidR="00B05687" w:rsidRDefault="00B05687" w:rsidP="00B05687">
      <w:pPr>
        <w:pStyle w:val="Titolo6"/>
        <w:jc w:val="center"/>
        <w:rPr>
          <w:b/>
        </w:rPr>
      </w:pPr>
      <w:r w:rsidRPr="001823F3">
        <w:rPr>
          <w:b/>
          <w:bCs/>
          <w:i w:val="0"/>
          <w:iCs w:val="0"/>
          <w:sz w:val="22"/>
          <w:szCs w:val="22"/>
        </w:rPr>
        <w:t>Valutazione</w:t>
      </w:r>
    </w:p>
    <w:p w:rsidR="00B05687" w:rsidRPr="00B05687" w:rsidRDefault="00C63741" w:rsidP="00B05687">
      <w:pPr>
        <w:jc w:val="center"/>
        <w:rPr>
          <w:rFonts w:ascii="Times New Roman" w:hAnsi="Times New Roman" w:cs="Times New Roman"/>
          <w:i/>
          <w:lang w:eastAsia="it-IT"/>
        </w:rPr>
      </w:pPr>
      <w:r w:rsidRPr="00C63741">
        <w:rPr>
          <w:rFonts w:ascii="Times New Roman" w:hAnsi="Times New Roman" w:cs="Times New Roman"/>
          <w:i/>
          <w:lang w:eastAsia="it-IT"/>
        </w:rPr>
        <w:t>[</w:t>
      </w:r>
      <w:proofErr w:type="gramStart"/>
      <w:r w:rsidRPr="00C63741">
        <w:rPr>
          <w:rFonts w:ascii="Times New Roman" w:hAnsi="Times New Roman" w:cs="Times New Roman"/>
          <w:i/>
          <w:lang w:eastAsia="it-IT"/>
        </w:rPr>
        <w:t>articoli</w:t>
      </w:r>
      <w:proofErr w:type="gramEnd"/>
      <w:r w:rsidRPr="00C63741">
        <w:rPr>
          <w:rFonts w:ascii="Times New Roman" w:hAnsi="Times New Roman" w:cs="Times New Roman"/>
          <w:i/>
          <w:lang w:eastAsia="it-IT"/>
        </w:rPr>
        <w:t xml:space="preserve"> 54-57 e 114 Regolamento Disposizioni Comuni]</w:t>
      </w:r>
    </w:p>
    <w:p w:rsidR="00B05687" w:rsidRPr="00C02093" w:rsidRDefault="00B05687" w:rsidP="002C2AA5">
      <w:pPr>
        <w:jc w:val="both"/>
        <w:rPr>
          <w:rFonts w:ascii="Times New Roman" w:hAnsi="Times New Roman" w:cs="Times New Roman"/>
        </w:rPr>
      </w:pPr>
      <w:r w:rsidRPr="000A2BDC">
        <w:rPr>
          <w:rFonts w:ascii="Times New Roman" w:hAnsi="Times New Roman" w:cs="Times New Roman"/>
        </w:rPr>
        <w:t>La mutata concezione delle fina</w:t>
      </w:r>
      <w:r w:rsidR="002C2AA5">
        <w:rPr>
          <w:rFonts w:ascii="Times New Roman" w:hAnsi="Times New Roman" w:cs="Times New Roman"/>
        </w:rPr>
        <w:t>lità degli esercizi valutativi, espressa nel 2007-2013,</w:t>
      </w:r>
      <w:r w:rsidRPr="000A2BDC">
        <w:rPr>
          <w:rFonts w:ascii="Times New Roman" w:hAnsi="Times New Roman" w:cs="Times New Roman"/>
        </w:rPr>
        <w:t xml:space="preserve"> risulta confermata anche per il periodo 2014-2020. </w:t>
      </w:r>
      <w:r w:rsidR="002C2AA5">
        <w:rPr>
          <w:rFonts w:ascii="Times New Roman" w:hAnsi="Times New Roman" w:cs="Times New Roman"/>
        </w:rPr>
        <w:t xml:space="preserve"> </w:t>
      </w:r>
      <w:r w:rsidRPr="000A2BDC">
        <w:rPr>
          <w:rFonts w:ascii="Times New Roman" w:hAnsi="Times New Roman" w:cs="Times New Roman"/>
        </w:rPr>
        <w:t xml:space="preserve">Il nuovo regolamento disposizioni </w:t>
      </w:r>
      <w:r w:rsidRPr="00FD5799">
        <w:rPr>
          <w:rFonts w:ascii="Times New Roman" w:hAnsi="Times New Roman" w:cs="Times New Roman"/>
        </w:rPr>
        <w:t xml:space="preserve">comuni ribadisce che la </w:t>
      </w:r>
      <w:r w:rsidRPr="00FD5799">
        <w:rPr>
          <w:rFonts w:ascii="Times New Roman" w:hAnsi="Times New Roman" w:cs="Times New Roman"/>
          <w:b/>
        </w:rPr>
        <w:t xml:space="preserve">funzione </w:t>
      </w:r>
      <w:r w:rsidRPr="00FD5799">
        <w:rPr>
          <w:rFonts w:ascii="Times New Roman" w:hAnsi="Times New Roman" w:cs="Times New Roman"/>
        </w:rPr>
        <w:t xml:space="preserve">della </w:t>
      </w:r>
      <w:r w:rsidRPr="00FD5799">
        <w:rPr>
          <w:rFonts w:ascii="Times New Roman" w:hAnsi="Times New Roman" w:cs="Times New Roman"/>
          <w:b/>
          <w:bCs/>
        </w:rPr>
        <w:t>valutazione</w:t>
      </w:r>
      <w:r w:rsidRPr="00FD5799">
        <w:rPr>
          <w:rFonts w:ascii="Times New Roman" w:hAnsi="Times New Roman" w:cs="Times New Roman"/>
        </w:rPr>
        <w:t xml:space="preserve"> consiste nel migliorare la qualità della progettazione del programma, nonché l’efficacia ed efficienza della sua attuazione. L’approccio generale alla valutazione dovrebbe essere collegato alla </w:t>
      </w:r>
      <w:r w:rsidRPr="00FD5799">
        <w:rPr>
          <w:rFonts w:ascii="Times New Roman" w:hAnsi="Times New Roman" w:cs="Times New Roman"/>
          <w:b/>
        </w:rPr>
        <w:t>logica dell’intervento</w:t>
      </w:r>
      <w:r w:rsidRPr="00FD5799">
        <w:rPr>
          <w:rFonts w:ascii="Times New Roman" w:hAnsi="Times New Roman" w:cs="Times New Roman"/>
        </w:rPr>
        <w:t xml:space="preserve"> ed in particolare agli obiettivi specifici e ai risultati di lungo periodo che il programma intende realizzare</w:t>
      </w:r>
      <w:r w:rsidRPr="00FD5799">
        <w:rPr>
          <w:b/>
        </w:rPr>
        <w:t xml:space="preserve">. </w:t>
      </w:r>
      <w:r w:rsidRPr="00FD5799">
        <w:rPr>
          <w:rFonts w:ascii="Times New Roman" w:hAnsi="Times New Roman" w:cs="Times New Roman"/>
        </w:rPr>
        <w:t>Particolare enfasi viene posta sull’</w:t>
      </w:r>
      <w:r w:rsidRPr="00FD5799">
        <w:rPr>
          <w:rFonts w:ascii="Times New Roman" w:hAnsi="Times New Roman" w:cs="Times New Roman"/>
          <w:b/>
        </w:rPr>
        <w:t>impatto dei programmi</w:t>
      </w:r>
      <w:r w:rsidRPr="00FD5799">
        <w:rPr>
          <w:rFonts w:ascii="Times New Roman" w:hAnsi="Times New Roman" w:cs="Times New Roman"/>
        </w:rPr>
        <w:t>, che dovrà essere valutato alla luce del conseguimento degli obiettivi della Strategia UE</w:t>
      </w:r>
      <w:r w:rsidR="009C3137" w:rsidRPr="00FD5799">
        <w:rPr>
          <w:rFonts w:ascii="Times New Roman" w:hAnsi="Times New Roman" w:cs="Times New Roman"/>
        </w:rPr>
        <w:t xml:space="preserve"> </w:t>
      </w:r>
      <w:r w:rsidRPr="00FD5799">
        <w:rPr>
          <w:rFonts w:ascii="Times New Roman" w:hAnsi="Times New Roman" w:cs="Times New Roman"/>
        </w:rPr>
        <w:t>2020 e ove opportuno in relazione al PIL e al tasso di disoccupazione nella zona interessata dal PO.  Per il periodo 2014-2020, i legislatori Comunitari hanno</w:t>
      </w:r>
      <w:r w:rsidR="006B6FC4" w:rsidRPr="00FD5799">
        <w:rPr>
          <w:rFonts w:ascii="Times New Roman" w:hAnsi="Times New Roman" w:cs="Times New Roman"/>
        </w:rPr>
        <w:t>, infatti,</w:t>
      </w:r>
      <w:r w:rsidRPr="00FD5799">
        <w:rPr>
          <w:rFonts w:ascii="Times New Roman" w:hAnsi="Times New Roman" w:cs="Times New Roman"/>
        </w:rPr>
        <w:t xml:space="preserve"> inteso ristabilire l’equilibrio tra valutazioni di attuazione e di efficacia, incoraggiando valutazio</w:t>
      </w:r>
      <w:r w:rsidR="00BA1CAF" w:rsidRPr="00FD5799">
        <w:rPr>
          <w:rFonts w:ascii="Times New Roman" w:hAnsi="Times New Roman" w:cs="Times New Roman"/>
        </w:rPr>
        <w:t>ni che vadano a misurare l’</w:t>
      </w:r>
      <w:r w:rsidRPr="00FD5799">
        <w:rPr>
          <w:rFonts w:ascii="Times New Roman" w:hAnsi="Times New Roman" w:cs="Times New Roman"/>
        </w:rPr>
        <w:t>impatto degli interventi del FSE. Si tratta di un elemento essenziale della rafforzata politica basata sui risultati</w:t>
      </w:r>
      <w:r w:rsidRPr="00C02093">
        <w:rPr>
          <w:rFonts w:ascii="Times New Roman" w:hAnsi="Times New Roman" w:cs="Times New Roman"/>
        </w:rPr>
        <w:t xml:space="preserve">. </w:t>
      </w:r>
    </w:p>
    <w:p w:rsidR="00FD5799" w:rsidRDefault="00FD5799" w:rsidP="00FD5799">
      <w:pPr>
        <w:spacing w:line="240" w:lineRule="auto"/>
        <w:jc w:val="both"/>
        <w:rPr>
          <w:rFonts w:ascii="Times New Roman" w:hAnsi="Times New Roman" w:cs="Times New Roman"/>
        </w:rPr>
      </w:pPr>
    </w:p>
    <w:p w:rsidR="00B05687" w:rsidRDefault="00B05687" w:rsidP="00FD5799">
      <w:pPr>
        <w:spacing w:line="240" w:lineRule="auto"/>
        <w:jc w:val="both"/>
      </w:pPr>
      <w:r w:rsidRPr="000A2BDC">
        <w:rPr>
          <w:rFonts w:ascii="Times New Roman" w:hAnsi="Times New Roman" w:cs="Times New Roman"/>
        </w:rPr>
        <w:t xml:space="preserve">In coerenza con l’attuale periodo, le valutazioni potranno essere eseguite da esperti </w:t>
      </w:r>
      <w:r w:rsidR="004C1F12" w:rsidRPr="000A2BDC">
        <w:rPr>
          <w:rFonts w:ascii="Times New Roman" w:hAnsi="Times New Roman" w:cs="Times New Roman"/>
        </w:rPr>
        <w:t xml:space="preserve">esterni </w:t>
      </w:r>
      <w:r w:rsidRPr="000A2BDC">
        <w:rPr>
          <w:rFonts w:ascii="Times New Roman" w:hAnsi="Times New Roman" w:cs="Times New Roman"/>
        </w:rPr>
        <w:t xml:space="preserve">o </w:t>
      </w:r>
      <w:r w:rsidR="004C1F12" w:rsidRPr="000A2BDC">
        <w:rPr>
          <w:rFonts w:ascii="Times New Roman" w:hAnsi="Times New Roman" w:cs="Times New Roman"/>
        </w:rPr>
        <w:t xml:space="preserve">interni </w:t>
      </w:r>
      <w:r w:rsidRPr="000A2BDC">
        <w:rPr>
          <w:rFonts w:ascii="Times New Roman" w:hAnsi="Times New Roman" w:cs="Times New Roman"/>
        </w:rPr>
        <w:t xml:space="preserve">funzionalmente indipendenti dalle autorità responsabili dell’attuazione del programma; gli esiti dovranno essere resi pubblici. </w:t>
      </w:r>
      <w:r w:rsidRPr="00975A96">
        <w:rPr>
          <w:rFonts w:ascii="Times New Roman" w:hAnsi="Times New Roman" w:cs="Times New Roman"/>
        </w:rPr>
        <w:t xml:space="preserve">Anche riguardo ai </w:t>
      </w:r>
      <w:r w:rsidRPr="00FD5799">
        <w:rPr>
          <w:rFonts w:ascii="Times New Roman" w:hAnsi="Times New Roman" w:cs="Times New Roman"/>
          <w:b/>
        </w:rPr>
        <w:t>tempi</w:t>
      </w:r>
      <w:r w:rsidRPr="00287A0A">
        <w:rPr>
          <w:rFonts w:ascii="Times New Roman" w:hAnsi="Times New Roman" w:cs="Times New Roman"/>
          <w:b/>
          <w:u w:val="single"/>
        </w:rPr>
        <w:t xml:space="preserve"> </w:t>
      </w:r>
      <w:r w:rsidRPr="00975A96">
        <w:rPr>
          <w:rFonts w:ascii="Times New Roman" w:hAnsi="Times New Roman" w:cs="Times New Roman"/>
        </w:rPr>
        <w:t>per lo svolgimento delle valutazioni non si rinviene alcuna differenza con l’attuale programmazione: sono previsti, in analogia con il 2007-2013, tre momenti fondamentali per la realizzazione di tali attività (prima, durante, dopo) e il Regolamento contiene disposizioni puntuali solo in relazione alla tempistica della valutazione ex ante</w:t>
      </w:r>
      <w:r>
        <w:rPr>
          <w:rFonts w:ascii="Times New Roman" w:hAnsi="Times New Roman" w:cs="Times New Roman"/>
        </w:rPr>
        <w:t>, che deve essere presentata contemporaneamente ai programmi unitamente ad una sintesi</w:t>
      </w:r>
      <w:r>
        <w:t>.</w:t>
      </w:r>
    </w:p>
    <w:p w:rsidR="00B05687" w:rsidRPr="00B4211A" w:rsidRDefault="00B05687" w:rsidP="004C1F12">
      <w:pPr>
        <w:jc w:val="both"/>
      </w:pPr>
      <w:r w:rsidRPr="00FD5799">
        <w:rPr>
          <w:rFonts w:ascii="Times New Roman" w:hAnsi="Times New Roman" w:cs="Times New Roman"/>
        </w:rPr>
        <w:t xml:space="preserve">Una </w:t>
      </w:r>
      <w:r w:rsidRPr="00FD5799">
        <w:rPr>
          <w:rFonts w:ascii="Times New Roman" w:hAnsi="Times New Roman" w:cs="Times New Roman"/>
          <w:b/>
        </w:rPr>
        <w:t>nuova</w:t>
      </w:r>
      <w:r w:rsidRPr="00FD5799">
        <w:rPr>
          <w:rFonts w:ascii="Times New Roman" w:hAnsi="Times New Roman" w:cs="Times New Roman"/>
        </w:rPr>
        <w:t xml:space="preserve"> </w:t>
      </w:r>
      <w:proofErr w:type="spellStart"/>
      <w:r w:rsidRPr="00FD5799">
        <w:rPr>
          <w:rFonts w:ascii="Times New Roman" w:hAnsi="Times New Roman" w:cs="Times New Roman"/>
          <w:b/>
          <w:i/>
        </w:rPr>
        <w:t>mission</w:t>
      </w:r>
      <w:proofErr w:type="spellEnd"/>
      <w:r w:rsidRPr="00FD5799">
        <w:rPr>
          <w:rFonts w:ascii="Times New Roman" w:hAnsi="Times New Roman" w:cs="Times New Roman"/>
          <w:b/>
        </w:rPr>
        <w:t xml:space="preserve"> </w:t>
      </w:r>
      <w:r w:rsidRPr="00FD5799">
        <w:rPr>
          <w:rFonts w:ascii="Times New Roman" w:hAnsi="Times New Roman" w:cs="Times New Roman"/>
        </w:rPr>
        <w:t xml:space="preserve">viene invece attribuita alla </w:t>
      </w:r>
      <w:r w:rsidRPr="00FD5799">
        <w:rPr>
          <w:rFonts w:ascii="Times New Roman" w:hAnsi="Times New Roman" w:cs="Times New Roman"/>
          <w:b/>
        </w:rPr>
        <w:t>valutazione ex ante</w:t>
      </w:r>
      <w:r w:rsidRPr="00FD5799">
        <w:rPr>
          <w:rFonts w:ascii="Times New Roman" w:hAnsi="Times New Roman" w:cs="Times New Roman"/>
        </w:rPr>
        <w:t>, il cui ruolo risulta rafforzato nel nuovo periodo di programmazione. Se da un lato l’attività principale resta quella di</w:t>
      </w:r>
      <w:r w:rsidRPr="000A2BDC">
        <w:rPr>
          <w:rFonts w:ascii="Times New Roman" w:hAnsi="Times New Roman" w:cs="Times New Roman"/>
        </w:rPr>
        <w:t xml:space="preserve"> fornire un </w:t>
      </w:r>
      <w:proofErr w:type="spellStart"/>
      <w:r w:rsidRPr="000A2BDC">
        <w:rPr>
          <w:rFonts w:ascii="Times New Roman" w:hAnsi="Times New Roman" w:cs="Times New Roman"/>
        </w:rPr>
        <w:t>feed</w:t>
      </w:r>
      <w:proofErr w:type="spellEnd"/>
      <w:r w:rsidRPr="000A2BDC">
        <w:rPr>
          <w:rFonts w:ascii="Times New Roman" w:hAnsi="Times New Roman" w:cs="Times New Roman"/>
        </w:rPr>
        <w:t xml:space="preserve"> back -in termini di coerenza- alle scelte di programmazione, dall’altro lato essa può svolgere anche un </w:t>
      </w:r>
      <w:r w:rsidRPr="00D30FAF">
        <w:rPr>
          <w:rFonts w:ascii="Times New Roman" w:hAnsi="Times New Roman" w:cs="Times New Roman"/>
          <w:b/>
        </w:rPr>
        <w:t>ruolo di supporto e suggerimento</w:t>
      </w:r>
      <w:r w:rsidRPr="000A2BDC">
        <w:rPr>
          <w:rFonts w:ascii="Times New Roman" w:hAnsi="Times New Roman" w:cs="Times New Roman"/>
        </w:rPr>
        <w:t xml:space="preserve"> nel disegno dell’impianto programmatico. </w:t>
      </w:r>
      <w:r w:rsidR="004C1F12">
        <w:rPr>
          <w:rFonts w:ascii="Times New Roman" w:hAnsi="Times New Roman" w:cs="Times New Roman"/>
        </w:rPr>
        <w:t>L</w:t>
      </w:r>
      <w:r w:rsidRPr="000A2BDC">
        <w:rPr>
          <w:rFonts w:ascii="Times New Roman" w:hAnsi="Times New Roman" w:cs="Times New Roman"/>
        </w:rPr>
        <w:t>a valutazione ex ante dovrà garantire che i programmi operativi articolino con chiarezza la propria logica di intervento e dimostrino il proprio contrib</w:t>
      </w:r>
      <w:r>
        <w:rPr>
          <w:rFonts w:ascii="Times New Roman" w:hAnsi="Times New Roman" w:cs="Times New Roman"/>
        </w:rPr>
        <w:t>uto alla Strategia Europa 2020. L</w:t>
      </w:r>
      <w:r w:rsidRPr="00813F1C">
        <w:rPr>
          <w:rFonts w:ascii="Times New Roman" w:hAnsi="Times New Roman" w:cs="Times New Roman"/>
        </w:rPr>
        <w:t xml:space="preserve">a stessa potrà svolgere una funzione importante nella verifica delle </w:t>
      </w:r>
      <w:proofErr w:type="spellStart"/>
      <w:r w:rsidRPr="00813F1C">
        <w:rPr>
          <w:rFonts w:ascii="Times New Roman" w:hAnsi="Times New Roman" w:cs="Times New Roman"/>
        </w:rPr>
        <w:t>baselines</w:t>
      </w:r>
      <w:proofErr w:type="spellEnd"/>
      <w:r w:rsidRPr="00813F1C">
        <w:rPr>
          <w:rFonts w:ascii="Times New Roman" w:hAnsi="Times New Roman" w:cs="Times New Roman"/>
        </w:rPr>
        <w:t xml:space="preserve"> per gli indicatori di risultato e nella individuazione dei dati necessari per le future valutazioni</w:t>
      </w:r>
      <w:r>
        <w:rPr>
          <w:rStyle w:val="Rimandonotaapidipagina"/>
          <w:rFonts w:ascii="Times New Roman" w:hAnsi="Times New Roman" w:cs="Times New Roman"/>
        </w:rPr>
        <w:footnoteReference w:id="3"/>
      </w:r>
      <w:r>
        <w:t xml:space="preserve">. </w:t>
      </w:r>
      <w:r w:rsidRPr="00173A52">
        <w:rPr>
          <w:rFonts w:ascii="Times New Roman" w:hAnsi="Times New Roman" w:cs="Times New Roman"/>
        </w:rPr>
        <w:t xml:space="preserve">Tra i nuovi compiti che il </w:t>
      </w:r>
      <w:r w:rsidR="00FC02F7">
        <w:rPr>
          <w:rFonts w:ascii="Times New Roman" w:hAnsi="Times New Roman" w:cs="Times New Roman"/>
        </w:rPr>
        <w:t>Regolamento disposizioni comuni</w:t>
      </w:r>
      <w:r w:rsidRPr="00173A52">
        <w:rPr>
          <w:rFonts w:ascii="Times New Roman" w:hAnsi="Times New Roman" w:cs="Times New Roman"/>
        </w:rPr>
        <w:t xml:space="preserve"> assegna alla medesima si segnalano anche la verifica dell’idoneità dei target intermedi selezionati per il quadro di riferimento dell’efficacia dell’attuazione (</w:t>
      </w:r>
      <w:r w:rsidRPr="002E2B79">
        <w:rPr>
          <w:rFonts w:ascii="Times New Roman" w:hAnsi="Times New Roman" w:cs="Times New Roman"/>
          <w:i/>
        </w:rPr>
        <w:t xml:space="preserve">performance </w:t>
      </w:r>
      <w:proofErr w:type="spellStart"/>
      <w:r w:rsidRPr="002E2B79">
        <w:rPr>
          <w:rFonts w:ascii="Times New Roman" w:hAnsi="Times New Roman" w:cs="Times New Roman"/>
          <w:i/>
        </w:rPr>
        <w:t>framework</w:t>
      </w:r>
      <w:proofErr w:type="spellEnd"/>
      <w:r w:rsidRPr="00173A52">
        <w:rPr>
          <w:rFonts w:ascii="Times New Roman" w:hAnsi="Times New Roman" w:cs="Times New Roman"/>
        </w:rPr>
        <w:t xml:space="preserve">) e delle misure intese a ridurre gli oneri amministrativi a carico dei beneficiari. </w:t>
      </w:r>
    </w:p>
    <w:p w:rsidR="00B05687" w:rsidRPr="00961F2A" w:rsidRDefault="00B05687" w:rsidP="00B05687">
      <w:pPr>
        <w:jc w:val="both"/>
        <w:rPr>
          <w:rFonts w:ascii="Times New Roman" w:hAnsi="Times New Roman" w:cs="Times New Roman"/>
        </w:rPr>
      </w:pPr>
      <w:r>
        <w:rPr>
          <w:rFonts w:ascii="Times New Roman" w:hAnsi="Times New Roman" w:cs="Times New Roman"/>
        </w:rPr>
        <w:t xml:space="preserve">La </w:t>
      </w:r>
      <w:r w:rsidRPr="002B2C95">
        <w:rPr>
          <w:rFonts w:ascii="Times New Roman" w:hAnsi="Times New Roman" w:cs="Times New Roman"/>
        </w:rPr>
        <w:t>valutazione ex ante</w:t>
      </w:r>
      <w:r w:rsidRPr="00C12FEE">
        <w:rPr>
          <w:rFonts w:ascii="Times New Roman" w:hAnsi="Times New Roman" w:cs="Times New Roman"/>
          <w:b/>
        </w:rPr>
        <w:t xml:space="preserve"> </w:t>
      </w:r>
      <w:r>
        <w:rPr>
          <w:rFonts w:ascii="Times New Roman" w:hAnsi="Times New Roman" w:cs="Times New Roman"/>
        </w:rPr>
        <w:t xml:space="preserve">dovrà di norma </w:t>
      </w:r>
      <w:r w:rsidRPr="00C12FEE">
        <w:rPr>
          <w:rFonts w:ascii="Times New Roman" w:hAnsi="Times New Roman" w:cs="Times New Roman"/>
          <w:b/>
        </w:rPr>
        <w:t>coprire un solo programma</w:t>
      </w:r>
      <w:r>
        <w:rPr>
          <w:rFonts w:ascii="Times New Roman" w:hAnsi="Times New Roman" w:cs="Times New Roman"/>
        </w:rPr>
        <w:t xml:space="preserve"> operativo; obbligo quest’ultimo sancito nel 2007-2013 per le sole regioni Convergenza, mentre per le regioni dell’obietti</w:t>
      </w:r>
      <w:r w:rsidR="00B04050">
        <w:rPr>
          <w:rFonts w:ascii="Times New Roman" w:hAnsi="Times New Roman" w:cs="Times New Roman"/>
        </w:rPr>
        <w:t xml:space="preserve">vo competitività era prevista in alternativa la possibilità </w:t>
      </w:r>
      <w:r>
        <w:rPr>
          <w:rFonts w:ascii="Times New Roman" w:hAnsi="Times New Roman" w:cs="Times New Roman"/>
        </w:rPr>
        <w:t xml:space="preserve">di effettuare una valutazione ex ante per l’insieme dei programmi, per Fondo o per priorità. Il nuovo regolamento </w:t>
      </w:r>
      <w:r w:rsidR="00FC02F7">
        <w:rPr>
          <w:rFonts w:ascii="Times New Roman" w:hAnsi="Times New Roman" w:cs="Times New Roman"/>
        </w:rPr>
        <w:t>disposizioni comuni</w:t>
      </w:r>
      <w:r>
        <w:rPr>
          <w:rFonts w:ascii="Times New Roman" w:hAnsi="Times New Roman" w:cs="Times New Roman"/>
        </w:rPr>
        <w:t xml:space="preserve"> apre, tuttavia, alla possibilità che le norme specifiche per ciascun fondo possano stabilire </w:t>
      </w:r>
      <w:r w:rsidRPr="00A012E4">
        <w:rPr>
          <w:rFonts w:ascii="Times New Roman" w:hAnsi="Times New Roman" w:cs="Times New Roman"/>
          <w:b/>
        </w:rPr>
        <w:t xml:space="preserve">soglie al di sotto delle quali la valutazione ex ante può essere combinata alla valutazione di un altro programma. </w:t>
      </w:r>
    </w:p>
    <w:p w:rsidR="00DE0581" w:rsidRPr="00FD5799" w:rsidRDefault="00B05687" w:rsidP="00B05687">
      <w:pPr>
        <w:jc w:val="both"/>
        <w:rPr>
          <w:rFonts w:ascii="Times New Roman" w:hAnsi="Times New Roman" w:cs="Times New Roman"/>
        </w:rPr>
      </w:pPr>
      <w:r w:rsidRPr="00172497">
        <w:rPr>
          <w:rFonts w:ascii="Times New Roman" w:hAnsi="Times New Roman" w:cs="Times New Roman"/>
        </w:rPr>
        <w:t>Diver</w:t>
      </w:r>
      <w:r>
        <w:rPr>
          <w:rFonts w:ascii="Times New Roman" w:hAnsi="Times New Roman" w:cs="Times New Roman"/>
        </w:rPr>
        <w:t xml:space="preserve">samente da quanto previsto per </w:t>
      </w:r>
      <w:r w:rsidRPr="00172497">
        <w:rPr>
          <w:rFonts w:ascii="Times New Roman" w:hAnsi="Times New Roman" w:cs="Times New Roman"/>
        </w:rPr>
        <w:t xml:space="preserve">la programmazione 2007-2013, </w:t>
      </w:r>
      <w:r>
        <w:rPr>
          <w:rFonts w:ascii="Times New Roman" w:hAnsi="Times New Roman" w:cs="Times New Roman"/>
        </w:rPr>
        <w:t>laddove il Reg. 1083/2006 sanc</w:t>
      </w:r>
      <w:r w:rsidR="001E3E78">
        <w:rPr>
          <w:rFonts w:ascii="Times New Roman" w:hAnsi="Times New Roman" w:cs="Times New Roman"/>
        </w:rPr>
        <w:t xml:space="preserve">iva l’obbligo di strutturare </w:t>
      </w:r>
      <w:r>
        <w:rPr>
          <w:rFonts w:ascii="Times New Roman" w:hAnsi="Times New Roman" w:cs="Times New Roman"/>
        </w:rPr>
        <w:t xml:space="preserve">Piani </w:t>
      </w:r>
      <w:r w:rsidRPr="00FD5799">
        <w:rPr>
          <w:rFonts w:ascii="Times New Roman" w:hAnsi="Times New Roman" w:cs="Times New Roman"/>
        </w:rPr>
        <w:t>dell’attività valutativa solo per le Regioni dell’obiettivo Convergenza, per il 2014-2020 le</w:t>
      </w:r>
      <w:r w:rsidRPr="00FD5799">
        <w:rPr>
          <w:rFonts w:ascii="Times New Roman" w:hAnsi="Times New Roman" w:cs="Times New Roman"/>
          <w:b/>
        </w:rPr>
        <w:t xml:space="preserve"> </w:t>
      </w:r>
      <w:proofErr w:type="spellStart"/>
      <w:r w:rsidRPr="00FD5799">
        <w:rPr>
          <w:rFonts w:ascii="Times New Roman" w:hAnsi="Times New Roman" w:cs="Times New Roman"/>
          <w:b/>
        </w:rPr>
        <w:t>AdG</w:t>
      </w:r>
      <w:proofErr w:type="spellEnd"/>
      <w:r w:rsidRPr="00FD5799">
        <w:rPr>
          <w:rFonts w:ascii="Times New Roman" w:hAnsi="Times New Roman" w:cs="Times New Roman"/>
          <w:b/>
        </w:rPr>
        <w:t xml:space="preserve"> dovranno redigere un piano di valutazione a prescindere dalla categoria </w:t>
      </w:r>
      <w:r w:rsidR="00F26C75" w:rsidRPr="00FD5799">
        <w:rPr>
          <w:rFonts w:ascii="Times New Roman" w:hAnsi="Times New Roman" w:cs="Times New Roman"/>
        </w:rPr>
        <w:t xml:space="preserve">alla quale la regione </w:t>
      </w:r>
      <w:r w:rsidRPr="00FD5799">
        <w:rPr>
          <w:rFonts w:ascii="Times New Roman" w:hAnsi="Times New Roman" w:cs="Times New Roman"/>
        </w:rPr>
        <w:t>appart</w:t>
      </w:r>
      <w:r w:rsidR="00F26C75" w:rsidRPr="00FD5799">
        <w:rPr>
          <w:rFonts w:ascii="Times New Roman" w:hAnsi="Times New Roman" w:cs="Times New Roman"/>
        </w:rPr>
        <w:t>iene</w:t>
      </w:r>
      <w:r w:rsidRPr="00FD5799">
        <w:rPr>
          <w:rFonts w:ascii="Times New Roman" w:hAnsi="Times New Roman" w:cs="Times New Roman"/>
        </w:rPr>
        <w:t xml:space="preserve"> (più sviluppate, meno sviluppate, in transizione). Tale </w:t>
      </w:r>
      <w:r w:rsidRPr="00FD5799">
        <w:rPr>
          <w:rFonts w:ascii="Times New Roman" w:hAnsi="Times New Roman" w:cs="Times New Roman"/>
          <w:b/>
        </w:rPr>
        <w:t>piano</w:t>
      </w:r>
      <w:r w:rsidRPr="00FD5799">
        <w:rPr>
          <w:rFonts w:ascii="Times New Roman" w:hAnsi="Times New Roman" w:cs="Times New Roman"/>
        </w:rPr>
        <w:t xml:space="preserve">, in linea con l’attuale ciclo, potrà coprire </w:t>
      </w:r>
      <w:r w:rsidRPr="00FD5799">
        <w:rPr>
          <w:rFonts w:ascii="Times New Roman" w:hAnsi="Times New Roman" w:cs="Times New Roman"/>
          <w:b/>
        </w:rPr>
        <w:t>più di un programma operativo</w:t>
      </w:r>
      <w:r w:rsidRPr="00FD5799">
        <w:rPr>
          <w:rFonts w:ascii="Times New Roman" w:hAnsi="Times New Roman" w:cs="Times New Roman"/>
        </w:rPr>
        <w:t xml:space="preserve"> e dovrà essere presentato al Comitato di Sorveglianza per l’approvazione entro un anno dall’adozione del PO. </w:t>
      </w:r>
    </w:p>
    <w:p w:rsidR="0078618C" w:rsidRDefault="00B05687" w:rsidP="00B05687">
      <w:pPr>
        <w:jc w:val="both"/>
        <w:rPr>
          <w:rFonts w:ascii="Times New Roman" w:hAnsi="Times New Roman" w:cs="Times New Roman"/>
        </w:rPr>
      </w:pPr>
      <w:r>
        <w:rPr>
          <w:rFonts w:ascii="Times New Roman" w:hAnsi="Times New Roman" w:cs="Times New Roman"/>
        </w:rPr>
        <w:t xml:space="preserve">Le </w:t>
      </w:r>
      <w:proofErr w:type="spellStart"/>
      <w:r>
        <w:rPr>
          <w:rFonts w:ascii="Times New Roman" w:hAnsi="Times New Roman" w:cs="Times New Roman"/>
        </w:rPr>
        <w:t>AdG</w:t>
      </w:r>
      <w:proofErr w:type="spellEnd"/>
      <w:r>
        <w:rPr>
          <w:rFonts w:ascii="Times New Roman" w:hAnsi="Times New Roman" w:cs="Times New Roman"/>
        </w:rPr>
        <w:t xml:space="preserve"> dovranno inoltre </w:t>
      </w:r>
      <w:r w:rsidRPr="00813F17">
        <w:rPr>
          <w:rFonts w:ascii="Times New Roman" w:hAnsi="Times New Roman" w:cs="Times New Roman"/>
          <w:b/>
        </w:rPr>
        <w:t>assicurare</w:t>
      </w:r>
      <w:r>
        <w:rPr>
          <w:rFonts w:ascii="Times New Roman" w:hAnsi="Times New Roman" w:cs="Times New Roman"/>
        </w:rPr>
        <w:t xml:space="preserve"> la disponibilità di </w:t>
      </w:r>
      <w:r w:rsidRPr="00813F17">
        <w:rPr>
          <w:rFonts w:ascii="Times New Roman" w:hAnsi="Times New Roman" w:cs="Times New Roman"/>
        </w:rPr>
        <w:t>un’</w:t>
      </w:r>
      <w:r w:rsidRPr="00813F17">
        <w:rPr>
          <w:rFonts w:ascii="Times New Roman" w:hAnsi="Times New Roman" w:cs="Times New Roman"/>
          <w:b/>
        </w:rPr>
        <w:t>appropriata capacità di valutazione</w:t>
      </w:r>
      <w:r>
        <w:rPr>
          <w:rFonts w:ascii="Times New Roman" w:hAnsi="Times New Roman" w:cs="Times New Roman"/>
        </w:rPr>
        <w:t xml:space="preserve">. </w:t>
      </w:r>
    </w:p>
    <w:p w:rsidR="00B05687" w:rsidRPr="000A2BDC" w:rsidRDefault="00B05687" w:rsidP="00B05687">
      <w:pPr>
        <w:jc w:val="both"/>
        <w:rPr>
          <w:rFonts w:ascii="Times New Roman" w:hAnsi="Times New Roman" w:cs="Times New Roman"/>
        </w:rPr>
      </w:pPr>
      <w:r>
        <w:rPr>
          <w:rFonts w:ascii="Times New Roman" w:hAnsi="Times New Roman" w:cs="Times New Roman"/>
        </w:rPr>
        <w:t>Del tutto nuova anche la previsione in base alla quale</w:t>
      </w:r>
      <w:r w:rsidRPr="00CA200E">
        <w:rPr>
          <w:rFonts w:ascii="Times New Roman" w:hAnsi="Times New Roman" w:cs="Times New Roman"/>
          <w:b/>
        </w:rPr>
        <w:t>, entro il 31 dicembre 2022</w:t>
      </w:r>
      <w:r>
        <w:rPr>
          <w:rFonts w:ascii="Times New Roman" w:hAnsi="Times New Roman" w:cs="Times New Roman"/>
        </w:rPr>
        <w:t xml:space="preserve">, </w:t>
      </w:r>
      <w:r w:rsidR="00137EEF">
        <w:rPr>
          <w:rFonts w:ascii="Times New Roman" w:hAnsi="Times New Roman" w:cs="Times New Roman"/>
        </w:rPr>
        <w:t>l’</w:t>
      </w:r>
      <w:proofErr w:type="spellStart"/>
      <w:r w:rsidR="00137EEF">
        <w:rPr>
          <w:rFonts w:ascii="Times New Roman" w:hAnsi="Times New Roman" w:cs="Times New Roman"/>
        </w:rPr>
        <w:t>AdG</w:t>
      </w:r>
      <w:proofErr w:type="spellEnd"/>
      <w:r w:rsidR="00137EEF">
        <w:rPr>
          <w:rFonts w:ascii="Times New Roman" w:hAnsi="Times New Roman" w:cs="Times New Roman"/>
        </w:rPr>
        <w:t xml:space="preserve"> dovrà</w:t>
      </w:r>
      <w:r w:rsidRPr="00CA200E">
        <w:rPr>
          <w:rFonts w:ascii="Times New Roman" w:hAnsi="Times New Roman" w:cs="Times New Roman"/>
        </w:rPr>
        <w:t xml:space="preserve"> presentare alla CE, per ciascun programma, un </w:t>
      </w:r>
      <w:r w:rsidRPr="00CA200E">
        <w:rPr>
          <w:rFonts w:ascii="Times New Roman" w:hAnsi="Times New Roman" w:cs="Times New Roman"/>
          <w:b/>
        </w:rPr>
        <w:t>report che sintetizza i risultati delle valutazioni</w:t>
      </w:r>
      <w:r w:rsidRPr="00CA200E">
        <w:rPr>
          <w:rFonts w:ascii="Times New Roman" w:hAnsi="Times New Roman" w:cs="Times New Roman"/>
        </w:rPr>
        <w:t xml:space="preserve"> eseguite durante il periodo programmatorio</w:t>
      </w:r>
      <w:r w:rsidRPr="002508EC">
        <w:rPr>
          <w:rFonts w:ascii="Times New Roman" w:hAnsi="Times New Roman" w:cs="Times New Roman"/>
        </w:rPr>
        <w:t xml:space="preserve"> e i principali risultati raggiunti dal programma</w:t>
      </w:r>
      <w:r>
        <w:rPr>
          <w:rFonts w:ascii="Times New Roman" w:hAnsi="Times New Roman" w:cs="Times New Roman"/>
        </w:rPr>
        <w:t xml:space="preserve">. </w:t>
      </w:r>
    </w:p>
    <w:p w:rsidR="00B05687" w:rsidRPr="00FD5799" w:rsidRDefault="00B05687" w:rsidP="00B05687">
      <w:pPr>
        <w:jc w:val="both"/>
        <w:rPr>
          <w:rFonts w:ascii="Times New Roman" w:hAnsi="Times New Roman" w:cs="Times New Roman"/>
        </w:rPr>
      </w:pPr>
      <w:r>
        <w:rPr>
          <w:rFonts w:ascii="Times New Roman" w:hAnsi="Times New Roman" w:cs="Times New Roman"/>
        </w:rPr>
        <w:t xml:space="preserve">Per quanto concerne la </w:t>
      </w:r>
      <w:r w:rsidRPr="00FD5799">
        <w:rPr>
          <w:rFonts w:ascii="Times New Roman" w:hAnsi="Times New Roman" w:cs="Times New Roman"/>
          <w:b/>
        </w:rPr>
        <w:t>valutazione in itinere</w:t>
      </w:r>
      <w:r w:rsidR="007F3F22" w:rsidRPr="00FD5799">
        <w:rPr>
          <w:rFonts w:ascii="Times New Roman" w:hAnsi="Times New Roman" w:cs="Times New Roman"/>
          <w:b/>
        </w:rPr>
        <w:t>,</w:t>
      </w:r>
      <w:r w:rsidRPr="00FD5799">
        <w:rPr>
          <w:rFonts w:ascii="Times New Roman" w:hAnsi="Times New Roman" w:cs="Times New Roman"/>
        </w:rPr>
        <w:t xml:space="preserve"> il nuovo regolamento se per un verso conferma la sua funzione di sorveglianza dell’attuazione del programma,</w:t>
      </w:r>
      <w:r w:rsidRPr="00FD5799">
        <w:t xml:space="preserve"> </w:t>
      </w:r>
      <w:r w:rsidRPr="00FD5799">
        <w:rPr>
          <w:rFonts w:ascii="Times New Roman" w:hAnsi="Times New Roman" w:cs="Times New Roman"/>
        </w:rPr>
        <w:t xml:space="preserve">decretando l’obbligo per le autorità di gestione di effettuare valutazioni per verificare l’efficacia, l’efficienza e l’impatto di ciascun PO sulla base di quanto previsto nel Piano; per un altro mette maggiormente in risalto </w:t>
      </w:r>
      <w:r w:rsidRPr="00FD5799">
        <w:rPr>
          <w:rFonts w:ascii="Times New Roman" w:hAnsi="Times New Roman" w:cs="Times New Roman"/>
          <w:b/>
        </w:rPr>
        <w:t>la logica d’intervento</w:t>
      </w:r>
      <w:r w:rsidRPr="00FD5799">
        <w:rPr>
          <w:rFonts w:ascii="Times New Roman" w:hAnsi="Times New Roman" w:cs="Times New Roman"/>
        </w:rPr>
        <w:t xml:space="preserve"> che dovrebbe guidare la valutazione, ponendo un vincolo per l’</w:t>
      </w:r>
      <w:proofErr w:type="spellStart"/>
      <w:r w:rsidRPr="00FD5799">
        <w:rPr>
          <w:rFonts w:ascii="Times New Roman" w:hAnsi="Times New Roman" w:cs="Times New Roman"/>
        </w:rPr>
        <w:t>AdG</w:t>
      </w:r>
      <w:proofErr w:type="spellEnd"/>
      <w:r w:rsidRPr="00FD5799">
        <w:rPr>
          <w:rFonts w:ascii="Times New Roman" w:hAnsi="Times New Roman" w:cs="Times New Roman"/>
        </w:rPr>
        <w:t xml:space="preserve"> di </w:t>
      </w:r>
      <w:r w:rsidRPr="00FD5799">
        <w:rPr>
          <w:rFonts w:ascii="Times New Roman" w:hAnsi="Times New Roman" w:cs="Times New Roman"/>
          <w:b/>
        </w:rPr>
        <w:t>valutare almeno una volta nel corso del periodo di programmazione il contributo dei Fondi al conseguimento degli obiettivi di ciascuna priorità selezionata</w:t>
      </w:r>
      <w:r w:rsidRPr="00FD5799">
        <w:rPr>
          <w:rFonts w:ascii="Times New Roman" w:hAnsi="Times New Roman" w:cs="Times New Roman"/>
        </w:rPr>
        <w:t xml:space="preserve">. </w:t>
      </w:r>
    </w:p>
    <w:p w:rsidR="00551CAB" w:rsidRPr="005A716B" w:rsidRDefault="00B05687" w:rsidP="004C1F12">
      <w:pPr>
        <w:jc w:val="both"/>
      </w:pPr>
      <w:r w:rsidRPr="00FD5799">
        <w:rPr>
          <w:rFonts w:ascii="Times New Roman" w:hAnsi="Times New Roman" w:cs="Times New Roman"/>
        </w:rPr>
        <w:t xml:space="preserve">Relativamente alla </w:t>
      </w:r>
      <w:r w:rsidRPr="00FD5799">
        <w:rPr>
          <w:rFonts w:ascii="Times New Roman" w:hAnsi="Times New Roman" w:cs="Times New Roman"/>
          <w:b/>
        </w:rPr>
        <w:t>valutazione condotta sotto la responsabilità della Commissione</w:t>
      </w:r>
      <w:r w:rsidRPr="00FD5799">
        <w:rPr>
          <w:rFonts w:ascii="Times New Roman" w:hAnsi="Times New Roman" w:cs="Times New Roman"/>
        </w:rPr>
        <w:t xml:space="preserve"> si segnala</w:t>
      </w:r>
      <w:r w:rsidR="0006592A" w:rsidRPr="00FD5799">
        <w:rPr>
          <w:rFonts w:ascii="Times New Roman" w:hAnsi="Times New Roman" w:cs="Times New Roman"/>
        </w:rPr>
        <w:t>, infine,</w:t>
      </w:r>
      <w:r w:rsidRPr="00FD5799">
        <w:rPr>
          <w:rFonts w:ascii="Times New Roman" w:hAnsi="Times New Roman" w:cs="Times New Roman"/>
        </w:rPr>
        <w:t xml:space="preserve"> come le norme per la futura programmazione non </w:t>
      </w:r>
      <w:r w:rsidR="00510FF5" w:rsidRPr="00FD5799">
        <w:rPr>
          <w:rFonts w:ascii="Times New Roman" w:hAnsi="Times New Roman" w:cs="Times New Roman"/>
        </w:rPr>
        <w:t>ripropongano</w:t>
      </w:r>
      <w:r w:rsidRPr="00FD5799">
        <w:rPr>
          <w:rFonts w:ascii="Times New Roman" w:hAnsi="Times New Roman" w:cs="Times New Roman"/>
        </w:rPr>
        <w:t xml:space="preserve"> </w:t>
      </w:r>
      <w:r w:rsidR="00510FF5" w:rsidRPr="00FD5799">
        <w:rPr>
          <w:rFonts w:ascii="Times New Roman" w:hAnsi="Times New Roman" w:cs="Times New Roman"/>
        </w:rPr>
        <w:t xml:space="preserve">il </w:t>
      </w:r>
      <w:r w:rsidRPr="00FD5799">
        <w:rPr>
          <w:rFonts w:ascii="Times New Roman" w:hAnsi="Times New Roman" w:cs="Times New Roman"/>
        </w:rPr>
        <w:t>distinguo</w:t>
      </w:r>
      <w:r>
        <w:rPr>
          <w:rFonts w:ascii="Times New Roman" w:hAnsi="Times New Roman" w:cs="Times New Roman"/>
        </w:rPr>
        <w:t xml:space="preserve"> tra valutazioni strategiche e valutazioni connesse alla sorveglianza, limitando queste ultime ai soli casi in cui la realizzazione del programma si allontani in maniera significativa dagli o</w:t>
      </w:r>
      <w:r w:rsidR="008E183C">
        <w:rPr>
          <w:rFonts w:ascii="Times New Roman" w:hAnsi="Times New Roman" w:cs="Times New Roman"/>
        </w:rPr>
        <w:t>biettivi inizialmente fissati. Dal dettato regolamentare sembrerebbe, dunque, evincersi che nel 2014-2020 la CE po</w:t>
      </w:r>
      <w:r w:rsidR="004E6248">
        <w:rPr>
          <w:rFonts w:ascii="Times New Roman" w:hAnsi="Times New Roman" w:cs="Times New Roman"/>
        </w:rPr>
        <w:t>ssa</w:t>
      </w:r>
      <w:r w:rsidR="008E183C">
        <w:rPr>
          <w:rFonts w:ascii="Times New Roman" w:hAnsi="Times New Roman" w:cs="Times New Roman"/>
        </w:rPr>
        <w:t xml:space="preserve"> effettuare di sua iniziativa valutazioni dei programmi sia di natura strategica che di carattere operativo. </w:t>
      </w:r>
    </w:p>
    <w:sectPr w:rsidR="00551CAB" w:rsidRPr="005A716B" w:rsidSect="00112CDA">
      <w:pgSz w:w="11906" w:h="16838"/>
      <w:pgMar w:top="567" w:right="849" w:bottom="720" w:left="1276" w:header="709" w:footer="709"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9B4" w:rsidRDefault="00F969B4" w:rsidP="00436305">
      <w:pPr>
        <w:spacing w:after="0" w:line="240" w:lineRule="auto"/>
      </w:pPr>
      <w:r>
        <w:separator/>
      </w:r>
    </w:p>
  </w:endnote>
  <w:endnote w:type="continuationSeparator" w:id="0">
    <w:p w:rsidR="00F969B4" w:rsidRDefault="00F969B4" w:rsidP="00436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4358139"/>
      <w:docPartObj>
        <w:docPartGallery w:val="Page Numbers (Bottom of Page)"/>
        <w:docPartUnique/>
      </w:docPartObj>
    </w:sdtPr>
    <w:sdtEndPr>
      <w:rPr>
        <w:rFonts w:ascii="Times New Roman" w:hAnsi="Times New Roman" w:cs="Times New Roman"/>
      </w:rPr>
    </w:sdtEndPr>
    <w:sdtContent>
      <w:p w:rsidR="001C1027" w:rsidRPr="001C1027" w:rsidRDefault="001C1027">
        <w:pPr>
          <w:pStyle w:val="Pidipagina"/>
          <w:jc w:val="right"/>
          <w:rPr>
            <w:rFonts w:ascii="Times New Roman" w:hAnsi="Times New Roman" w:cs="Times New Roman"/>
          </w:rPr>
        </w:pPr>
        <w:r w:rsidRPr="001C1027">
          <w:rPr>
            <w:rFonts w:ascii="Times New Roman" w:hAnsi="Times New Roman" w:cs="Times New Roman"/>
          </w:rPr>
          <w:fldChar w:fldCharType="begin"/>
        </w:r>
        <w:r w:rsidRPr="001C1027">
          <w:rPr>
            <w:rFonts w:ascii="Times New Roman" w:hAnsi="Times New Roman" w:cs="Times New Roman"/>
          </w:rPr>
          <w:instrText>PAGE   \* MERGEFORMAT</w:instrText>
        </w:r>
        <w:r w:rsidRPr="001C1027">
          <w:rPr>
            <w:rFonts w:ascii="Times New Roman" w:hAnsi="Times New Roman" w:cs="Times New Roman"/>
          </w:rPr>
          <w:fldChar w:fldCharType="separate"/>
        </w:r>
        <w:r w:rsidR="0098403B">
          <w:rPr>
            <w:rFonts w:ascii="Times New Roman" w:hAnsi="Times New Roman" w:cs="Times New Roman"/>
            <w:noProof/>
          </w:rPr>
          <w:t>19</w:t>
        </w:r>
        <w:r w:rsidRPr="001C1027">
          <w:rPr>
            <w:rFonts w:ascii="Times New Roman" w:hAnsi="Times New Roman" w:cs="Times New Roman"/>
          </w:rPr>
          <w:fldChar w:fldCharType="end"/>
        </w:r>
      </w:p>
    </w:sdtContent>
  </w:sdt>
  <w:p w:rsidR="00B90105" w:rsidRDefault="0098403B" w:rsidP="0098403B">
    <w:pPr>
      <w:pStyle w:val="Pidipagina"/>
      <w:jc w:val="center"/>
    </w:pPr>
    <w:r>
      <w:rPr>
        <w:rFonts w:ascii="Times New Roman" w:hAnsi="Times New Roman" w:cs="Times New Roman"/>
        <w:sz w:val="20"/>
      </w:rPr>
      <w:t xml:space="preserve">Tecnostruttura delle Regioni – </w:t>
    </w:r>
    <w:proofErr w:type="spellStart"/>
    <w:r>
      <w:rPr>
        <w:rFonts w:ascii="Times New Roman" w:hAnsi="Times New Roman" w:cs="Times New Roman"/>
        <w:sz w:val="20"/>
      </w:rPr>
      <w:t>All</w:t>
    </w:r>
    <w:proofErr w:type="spellEnd"/>
    <w:r>
      <w:rPr>
        <w:rFonts w:ascii="Times New Roman" w:hAnsi="Times New Roman" w:cs="Times New Roman"/>
        <w:sz w:val="20"/>
      </w:rPr>
      <w:t xml:space="preserve">. </w:t>
    </w:r>
    <w:r>
      <w:rPr>
        <w:rFonts w:ascii="Times New Roman" w:hAnsi="Times New Roman" w:cs="Times New Roman"/>
        <w:sz w:val="20"/>
      </w:rPr>
      <w:t>4</w:t>
    </w:r>
    <w:r>
      <w:rPr>
        <w:rFonts w:ascii="Times New Roman" w:hAnsi="Times New Roman" w:cs="Times New Roman"/>
        <w:sz w:val="20"/>
      </w:rPr>
      <w:t xml:space="preserve"> al </w:t>
    </w:r>
    <w:proofErr w:type="spellStart"/>
    <w:r>
      <w:rPr>
        <w:rFonts w:ascii="Times New Roman" w:hAnsi="Times New Roman" w:cs="Times New Roman"/>
        <w:sz w:val="20"/>
      </w:rPr>
      <w:t>prot</w:t>
    </w:r>
    <w:proofErr w:type="spellEnd"/>
    <w:r>
      <w:rPr>
        <w:rFonts w:ascii="Times New Roman" w:hAnsi="Times New Roman" w:cs="Times New Roman"/>
        <w:sz w:val="20"/>
      </w:rPr>
      <w:t>. 292/FSE del 3 febbraio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9B4" w:rsidRDefault="00F969B4" w:rsidP="00436305">
      <w:pPr>
        <w:spacing w:after="0" w:line="240" w:lineRule="auto"/>
      </w:pPr>
      <w:r>
        <w:separator/>
      </w:r>
    </w:p>
  </w:footnote>
  <w:footnote w:type="continuationSeparator" w:id="0">
    <w:p w:rsidR="00F969B4" w:rsidRDefault="00F969B4" w:rsidP="00436305">
      <w:pPr>
        <w:spacing w:after="0" w:line="240" w:lineRule="auto"/>
      </w:pPr>
      <w:r>
        <w:continuationSeparator/>
      </w:r>
    </w:p>
  </w:footnote>
  <w:footnote w:id="1">
    <w:p w:rsidR="00133CCB" w:rsidRDefault="00133CCB" w:rsidP="00133CCB">
      <w:pPr>
        <w:pStyle w:val="Testonotaapidipagina"/>
      </w:pPr>
      <w:r>
        <w:rPr>
          <w:rStyle w:val="Rimandonotaapidipagina"/>
        </w:rPr>
        <w:footnoteRef/>
      </w:r>
      <w:r>
        <w:t xml:space="preserve"> </w:t>
      </w:r>
      <w:proofErr w:type="spellStart"/>
      <w:r w:rsidRPr="00AF533C">
        <w:rPr>
          <w:sz w:val="16"/>
          <w:szCs w:val="16"/>
        </w:rPr>
        <w:t>Cfr</w:t>
      </w:r>
      <w:proofErr w:type="spellEnd"/>
      <w:r w:rsidRPr="00AF533C">
        <w:rPr>
          <w:sz w:val="16"/>
          <w:szCs w:val="16"/>
        </w:rPr>
        <w:t xml:space="preserve"> </w:t>
      </w:r>
      <w:r>
        <w:rPr>
          <w:sz w:val="16"/>
          <w:szCs w:val="16"/>
        </w:rPr>
        <w:t>“</w:t>
      </w:r>
      <w:r>
        <w:rPr>
          <w:i/>
          <w:sz w:val="16"/>
          <w:szCs w:val="16"/>
        </w:rPr>
        <w:t>O</w:t>
      </w:r>
      <w:r w:rsidRPr="00AF533C">
        <w:rPr>
          <w:i/>
          <w:sz w:val="16"/>
          <w:szCs w:val="16"/>
        </w:rPr>
        <w:t>rientamenti per l’organizzazione della valutazione della politica regionale: il piano di valutazione</w:t>
      </w:r>
      <w:r>
        <w:rPr>
          <w:i/>
          <w:sz w:val="16"/>
          <w:szCs w:val="16"/>
        </w:rPr>
        <w:t xml:space="preserve">” </w:t>
      </w:r>
      <w:r w:rsidRPr="00AF533C">
        <w:rPr>
          <w:sz w:val="16"/>
          <w:szCs w:val="16"/>
        </w:rPr>
        <w:t>a cura del Sistema Nazionale di valutazione della Politica Regionale</w:t>
      </w:r>
      <w:r>
        <w:rPr>
          <w:sz w:val="16"/>
          <w:szCs w:val="16"/>
        </w:rPr>
        <w:t xml:space="preserve">. </w:t>
      </w:r>
      <w:r>
        <w:rPr>
          <w:i/>
          <w:sz w:val="16"/>
          <w:szCs w:val="16"/>
        </w:rPr>
        <w:t xml:space="preserve">  </w:t>
      </w:r>
      <w:r>
        <w:rPr>
          <w:sz w:val="16"/>
          <w:szCs w:val="16"/>
        </w:rPr>
        <w:t xml:space="preserve"> </w:t>
      </w:r>
      <w:r>
        <w:t xml:space="preserve"> </w:t>
      </w:r>
    </w:p>
  </w:footnote>
  <w:footnote w:id="2">
    <w:p w:rsidR="00133CCB" w:rsidRDefault="00133CCB" w:rsidP="00133CCB">
      <w:pPr>
        <w:pStyle w:val="Testonotaapidipagina"/>
      </w:pPr>
      <w:r>
        <w:rPr>
          <w:rStyle w:val="Rimandonotaapidipagina"/>
        </w:rPr>
        <w:footnoteRef/>
      </w:r>
      <w:r>
        <w:t xml:space="preserve"> </w:t>
      </w:r>
      <w:proofErr w:type="spellStart"/>
      <w:r w:rsidRPr="00FE29C0">
        <w:rPr>
          <w:sz w:val="16"/>
          <w:szCs w:val="16"/>
        </w:rPr>
        <w:t>Cfr</w:t>
      </w:r>
      <w:proofErr w:type="spellEnd"/>
      <w:r w:rsidRPr="00FE29C0">
        <w:rPr>
          <w:sz w:val="16"/>
          <w:szCs w:val="16"/>
        </w:rPr>
        <w:t xml:space="preserve"> art. 19 Regolamento (UE) 1304/2013 relativo al Fondo Sociale Europeo</w:t>
      </w:r>
      <w:r>
        <w:t xml:space="preserve"> </w:t>
      </w:r>
    </w:p>
  </w:footnote>
  <w:footnote w:id="3">
    <w:p w:rsidR="00B05687" w:rsidRDefault="00B05687" w:rsidP="0098403B">
      <w:pPr>
        <w:pStyle w:val="Testonotaapidipagina"/>
        <w:ind w:left="142" w:hanging="142"/>
      </w:pPr>
      <w:r>
        <w:rPr>
          <w:rStyle w:val="Rimandonotaapidipagina"/>
        </w:rPr>
        <w:footnoteRef/>
      </w:r>
      <w:r>
        <w:t xml:space="preserve"> </w:t>
      </w:r>
      <w:r w:rsidRPr="00813F1C">
        <w:rPr>
          <w:sz w:val="16"/>
          <w:szCs w:val="16"/>
        </w:rPr>
        <w:t>Per approfo</w:t>
      </w:r>
      <w:bookmarkStart w:id="0" w:name="_GoBack"/>
      <w:bookmarkEnd w:id="0"/>
      <w:r w:rsidRPr="00813F1C">
        <w:rPr>
          <w:sz w:val="16"/>
          <w:szCs w:val="16"/>
        </w:rPr>
        <w:t>ndimenti sul tema cfr. scheda di sintesi, elaborata da Tecnostruttura, guida CE (</w:t>
      </w:r>
      <w:proofErr w:type="spellStart"/>
      <w:r w:rsidRPr="00813F1C">
        <w:rPr>
          <w:sz w:val="16"/>
          <w:szCs w:val="16"/>
        </w:rPr>
        <w:t>draft</w:t>
      </w:r>
      <w:proofErr w:type="spellEnd"/>
      <w:r w:rsidRPr="00813F1C">
        <w:rPr>
          <w:sz w:val="16"/>
          <w:szCs w:val="16"/>
        </w:rPr>
        <w:t xml:space="preserve"> dicembre 2012) su Monitoraggio e Valutazione</w:t>
      </w:r>
      <w:r>
        <w:t xml:space="preserve"> [</w:t>
      </w:r>
      <w:r w:rsidRPr="00027C3A">
        <w:rPr>
          <w:sz w:val="16"/>
          <w:szCs w:val="16"/>
        </w:rPr>
        <w:t>invio alle Regioni</w:t>
      </w:r>
      <w:r>
        <w:rPr>
          <w:sz w:val="16"/>
          <w:szCs w:val="16"/>
        </w:rPr>
        <w:t xml:space="preserve"> del 31/01/2013</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9FC"/>
      </v:shape>
    </w:pict>
  </w:numPicBullet>
  <w:abstractNum w:abstractNumId="0">
    <w:nsid w:val="001E2E84"/>
    <w:multiLevelType w:val="hybridMultilevel"/>
    <w:tmpl w:val="56DA4900"/>
    <w:lvl w:ilvl="0" w:tplc="CD388444">
      <w:start w:val="1"/>
      <w:numFmt w:val="bullet"/>
      <w:lvlText w:val="-"/>
      <w:lvlJc w:val="left"/>
      <w:pPr>
        <w:tabs>
          <w:tab w:val="num" w:pos="1040"/>
        </w:tabs>
        <w:ind w:left="1021"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E126F39"/>
    <w:multiLevelType w:val="hybridMultilevel"/>
    <w:tmpl w:val="3B5EF36E"/>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DA90250"/>
    <w:multiLevelType w:val="hybridMultilevel"/>
    <w:tmpl w:val="B63222DC"/>
    <w:lvl w:ilvl="0" w:tplc="04100005">
      <w:start w:val="1"/>
      <w:numFmt w:val="bullet"/>
      <w:lvlText w:val=""/>
      <w:lvlJc w:val="left"/>
      <w:pPr>
        <w:tabs>
          <w:tab w:val="num" w:pos="720"/>
        </w:tabs>
        <w:ind w:left="720" w:hanging="360"/>
      </w:pPr>
      <w:rPr>
        <w:rFonts w:ascii="Wingdings" w:hAnsi="Wingdings" w:hint="default"/>
      </w:rPr>
    </w:lvl>
    <w:lvl w:ilvl="1" w:tplc="04100007">
      <w:start w:val="1"/>
      <w:numFmt w:val="bullet"/>
      <w:lvlText w:val=""/>
      <w:lvlPicBulletId w:val="0"/>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465208BE"/>
    <w:multiLevelType w:val="hybridMultilevel"/>
    <w:tmpl w:val="931E5836"/>
    <w:lvl w:ilvl="0" w:tplc="B99C1CAE">
      <w:start w:val="1"/>
      <w:numFmt w:val="decimal"/>
      <w:lvlText w:val="%1."/>
      <w:lvlJc w:val="left"/>
      <w:pPr>
        <w:ind w:left="720" w:hanging="360"/>
      </w:pPr>
      <w:rPr>
        <w:rFonts w:ascii="Times New Roman" w:hAnsi="Times New Roman" w:cs="Times New Roman" w:hint="default"/>
        <w:sz w:val="19"/>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CAB"/>
    <w:rsid w:val="000017F8"/>
    <w:rsid w:val="000070B6"/>
    <w:rsid w:val="0001339D"/>
    <w:rsid w:val="0001653F"/>
    <w:rsid w:val="0002231F"/>
    <w:rsid w:val="00023B20"/>
    <w:rsid w:val="00026D5D"/>
    <w:rsid w:val="00027C38"/>
    <w:rsid w:val="00027C3A"/>
    <w:rsid w:val="000308B5"/>
    <w:rsid w:val="0003244A"/>
    <w:rsid w:val="000337DD"/>
    <w:rsid w:val="00034F07"/>
    <w:rsid w:val="00042EF2"/>
    <w:rsid w:val="0004664D"/>
    <w:rsid w:val="000468B0"/>
    <w:rsid w:val="0005092B"/>
    <w:rsid w:val="00051B59"/>
    <w:rsid w:val="00057317"/>
    <w:rsid w:val="0006592A"/>
    <w:rsid w:val="0007272A"/>
    <w:rsid w:val="0008277E"/>
    <w:rsid w:val="0009085A"/>
    <w:rsid w:val="00094087"/>
    <w:rsid w:val="00094B97"/>
    <w:rsid w:val="00096279"/>
    <w:rsid w:val="000978CE"/>
    <w:rsid w:val="000A1F32"/>
    <w:rsid w:val="000A2BDC"/>
    <w:rsid w:val="000A3466"/>
    <w:rsid w:val="000B081B"/>
    <w:rsid w:val="000B10AA"/>
    <w:rsid w:val="000B6FB3"/>
    <w:rsid w:val="000C4E55"/>
    <w:rsid w:val="000D324D"/>
    <w:rsid w:val="000D6C53"/>
    <w:rsid w:val="000E1156"/>
    <w:rsid w:val="000F52D9"/>
    <w:rsid w:val="000F6839"/>
    <w:rsid w:val="000F776A"/>
    <w:rsid w:val="00112CDA"/>
    <w:rsid w:val="001139C8"/>
    <w:rsid w:val="00114C09"/>
    <w:rsid w:val="00122F47"/>
    <w:rsid w:val="0012371E"/>
    <w:rsid w:val="00131112"/>
    <w:rsid w:val="00133CCB"/>
    <w:rsid w:val="00135B7F"/>
    <w:rsid w:val="001365C0"/>
    <w:rsid w:val="00137EBF"/>
    <w:rsid w:val="00137EEF"/>
    <w:rsid w:val="00143AA3"/>
    <w:rsid w:val="00147AA4"/>
    <w:rsid w:val="0015766F"/>
    <w:rsid w:val="00172497"/>
    <w:rsid w:val="001737B2"/>
    <w:rsid w:val="00173A52"/>
    <w:rsid w:val="00175CC1"/>
    <w:rsid w:val="0017668F"/>
    <w:rsid w:val="001823F3"/>
    <w:rsid w:val="0018477F"/>
    <w:rsid w:val="001915E6"/>
    <w:rsid w:val="0019453A"/>
    <w:rsid w:val="001B3E59"/>
    <w:rsid w:val="001B4D08"/>
    <w:rsid w:val="001B6004"/>
    <w:rsid w:val="001B6EDD"/>
    <w:rsid w:val="001C1027"/>
    <w:rsid w:val="001C2EFF"/>
    <w:rsid w:val="001D4F64"/>
    <w:rsid w:val="001D56CB"/>
    <w:rsid w:val="001D5B60"/>
    <w:rsid w:val="001D7A3F"/>
    <w:rsid w:val="001E1A2E"/>
    <w:rsid w:val="001E2BC9"/>
    <w:rsid w:val="001E3E78"/>
    <w:rsid w:val="001F0FD1"/>
    <w:rsid w:val="001F263A"/>
    <w:rsid w:val="001F37E4"/>
    <w:rsid w:val="001F6FC0"/>
    <w:rsid w:val="00200FF2"/>
    <w:rsid w:val="002010E1"/>
    <w:rsid w:val="002033B1"/>
    <w:rsid w:val="00204E03"/>
    <w:rsid w:val="002062AE"/>
    <w:rsid w:val="0022793A"/>
    <w:rsid w:val="00230067"/>
    <w:rsid w:val="00230CE8"/>
    <w:rsid w:val="00243F54"/>
    <w:rsid w:val="0024724C"/>
    <w:rsid w:val="002508EC"/>
    <w:rsid w:val="00253102"/>
    <w:rsid w:val="00254334"/>
    <w:rsid w:val="00260783"/>
    <w:rsid w:val="00267609"/>
    <w:rsid w:val="0027230D"/>
    <w:rsid w:val="00273BDF"/>
    <w:rsid w:val="00276E9B"/>
    <w:rsid w:val="0028034A"/>
    <w:rsid w:val="00287A0A"/>
    <w:rsid w:val="0029183F"/>
    <w:rsid w:val="00291A74"/>
    <w:rsid w:val="002A36A0"/>
    <w:rsid w:val="002A5CA1"/>
    <w:rsid w:val="002A5DFA"/>
    <w:rsid w:val="002B19D6"/>
    <w:rsid w:val="002B2214"/>
    <w:rsid w:val="002B2C95"/>
    <w:rsid w:val="002B6952"/>
    <w:rsid w:val="002C0EF5"/>
    <w:rsid w:val="002C2668"/>
    <w:rsid w:val="002C2AA5"/>
    <w:rsid w:val="002C66F5"/>
    <w:rsid w:val="002D154C"/>
    <w:rsid w:val="002D523C"/>
    <w:rsid w:val="002E243C"/>
    <w:rsid w:val="002E2754"/>
    <w:rsid w:val="002E2B79"/>
    <w:rsid w:val="002E65D9"/>
    <w:rsid w:val="002E6680"/>
    <w:rsid w:val="002F00E0"/>
    <w:rsid w:val="002F1E6F"/>
    <w:rsid w:val="002F57B3"/>
    <w:rsid w:val="00302DF1"/>
    <w:rsid w:val="003104E0"/>
    <w:rsid w:val="00310609"/>
    <w:rsid w:val="00316439"/>
    <w:rsid w:val="00316D24"/>
    <w:rsid w:val="00321369"/>
    <w:rsid w:val="00322BE1"/>
    <w:rsid w:val="00322DA1"/>
    <w:rsid w:val="00326781"/>
    <w:rsid w:val="00330E45"/>
    <w:rsid w:val="00331408"/>
    <w:rsid w:val="003326F7"/>
    <w:rsid w:val="00335EBC"/>
    <w:rsid w:val="00351710"/>
    <w:rsid w:val="00356DBB"/>
    <w:rsid w:val="00365646"/>
    <w:rsid w:val="00367A9C"/>
    <w:rsid w:val="00372490"/>
    <w:rsid w:val="00375437"/>
    <w:rsid w:val="00377985"/>
    <w:rsid w:val="00391D76"/>
    <w:rsid w:val="003937A8"/>
    <w:rsid w:val="003945D2"/>
    <w:rsid w:val="003A1B35"/>
    <w:rsid w:val="003A20C2"/>
    <w:rsid w:val="003B014B"/>
    <w:rsid w:val="003B03EC"/>
    <w:rsid w:val="003B56DD"/>
    <w:rsid w:val="003C4208"/>
    <w:rsid w:val="003D2012"/>
    <w:rsid w:val="003E542A"/>
    <w:rsid w:val="00402FEB"/>
    <w:rsid w:val="004055DD"/>
    <w:rsid w:val="00405DDE"/>
    <w:rsid w:val="00406006"/>
    <w:rsid w:val="00406FD8"/>
    <w:rsid w:val="00410B28"/>
    <w:rsid w:val="00413102"/>
    <w:rsid w:val="00414A54"/>
    <w:rsid w:val="00415713"/>
    <w:rsid w:val="004170DC"/>
    <w:rsid w:val="00417279"/>
    <w:rsid w:val="00424F53"/>
    <w:rsid w:val="00426696"/>
    <w:rsid w:val="00430794"/>
    <w:rsid w:val="0043509D"/>
    <w:rsid w:val="00436305"/>
    <w:rsid w:val="00443156"/>
    <w:rsid w:val="004576A6"/>
    <w:rsid w:val="004607C9"/>
    <w:rsid w:val="004739C6"/>
    <w:rsid w:val="00473C68"/>
    <w:rsid w:val="00483822"/>
    <w:rsid w:val="00485F59"/>
    <w:rsid w:val="0049156B"/>
    <w:rsid w:val="004A18BB"/>
    <w:rsid w:val="004A5C9D"/>
    <w:rsid w:val="004B3C1E"/>
    <w:rsid w:val="004B4C34"/>
    <w:rsid w:val="004B5CD9"/>
    <w:rsid w:val="004C1F12"/>
    <w:rsid w:val="004C4D13"/>
    <w:rsid w:val="004C5D40"/>
    <w:rsid w:val="004D5CC4"/>
    <w:rsid w:val="004E6248"/>
    <w:rsid w:val="004F164B"/>
    <w:rsid w:val="00502F35"/>
    <w:rsid w:val="00504BBB"/>
    <w:rsid w:val="0050709F"/>
    <w:rsid w:val="00510DB2"/>
    <w:rsid w:val="00510FF5"/>
    <w:rsid w:val="00522DF1"/>
    <w:rsid w:val="0052613A"/>
    <w:rsid w:val="00531A8D"/>
    <w:rsid w:val="00534B96"/>
    <w:rsid w:val="00542547"/>
    <w:rsid w:val="00543BBA"/>
    <w:rsid w:val="00544F09"/>
    <w:rsid w:val="0054551B"/>
    <w:rsid w:val="0054611F"/>
    <w:rsid w:val="00551CAB"/>
    <w:rsid w:val="00553DD0"/>
    <w:rsid w:val="0055462C"/>
    <w:rsid w:val="0055501E"/>
    <w:rsid w:val="0056151A"/>
    <w:rsid w:val="00561BEE"/>
    <w:rsid w:val="005776C9"/>
    <w:rsid w:val="005858E3"/>
    <w:rsid w:val="005A716B"/>
    <w:rsid w:val="005B2A35"/>
    <w:rsid w:val="005B3777"/>
    <w:rsid w:val="005B59B7"/>
    <w:rsid w:val="005C1AC9"/>
    <w:rsid w:val="005C255A"/>
    <w:rsid w:val="005D596E"/>
    <w:rsid w:val="005D76C8"/>
    <w:rsid w:val="005E0450"/>
    <w:rsid w:val="005E30D2"/>
    <w:rsid w:val="005E53EC"/>
    <w:rsid w:val="005E5C51"/>
    <w:rsid w:val="005E675F"/>
    <w:rsid w:val="005F5197"/>
    <w:rsid w:val="00600A44"/>
    <w:rsid w:val="00602348"/>
    <w:rsid w:val="006026AE"/>
    <w:rsid w:val="00604137"/>
    <w:rsid w:val="00604EC5"/>
    <w:rsid w:val="00606155"/>
    <w:rsid w:val="00612C2F"/>
    <w:rsid w:val="006137AC"/>
    <w:rsid w:val="00620B79"/>
    <w:rsid w:val="0062199C"/>
    <w:rsid w:val="006232DF"/>
    <w:rsid w:val="00624A45"/>
    <w:rsid w:val="0063679D"/>
    <w:rsid w:val="00641BF4"/>
    <w:rsid w:val="006420C1"/>
    <w:rsid w:val="0064397D"/>
    <w:rsid w:val="00664548"/>
    <w:rsid w:val="0066535C"/>
    <w:rsid w:val="00671DF1"/>
    <w:rsid w:val="00673CAD"/>
    <w:rsid w:val="00676027"/>
    <w:rsid w:val="00677C3D"/>
    <w:rsid w:val="006806AC"/>
    <w:rsid w:val="0068439C"/>
    <w:rsid w:val="00685A11"/>
    <w:rsid w:val="006926E6"/>
    <w:rsid w:val="006947AA"/>
    <w:rsid w:val="006A3F56"/>
    <w:rsid w:val="006A43F2"/>
    <w:rsid w:val="006B3136"/>
    <w:rsid w:val="006B5B81"/>
    <w:rsid w:val="006B6FC4"/>
    <w:rsid w:val="006C5F61"/>
    <w:rsid w:val="006D0885"/>
    <w:rsid w:val="006D15B9"/>
    <w:rsid w:val="006E1CA1"/>
    <w:rsid w:val="006F34E5"/>
    <w:rsid w:val="006F3B29"/>
    <w:rsid w:val="0070093A"/>
    <w:rsid w:val="00705EF6"/>
    <w:rsid w:val="007110F5"/>
    <w:rsid w:val="00717A73"/>
    <w:rsid w:val="0072438D"/>
    <w:rsid w:val="00733ADA"/>
    <w:rsid w:val="00736087"/>
    <w:rsid w:val="00740610"/>
    <w:rsid w:val="00743469"/>
    <w:rsid w:val="00762E43"/>
    <w:rsid w:val="0076414E"/>
    <w:rsid w:val="00764734"/>
    <w:rsid w:val="00765869"/>
    <w:rsid w:val="007733E2"/>
    <w:rsid w:val="007750A9"/>
    <w:rsid w:val="00776015"/>
    <w:rsid w:val="00777A93"/>
    <w:rsid w:val="007838B9"/>
    <w:rsid w:val="00784B69"/>
    <w:rsid w:val="0078618C"/>
    <w:rsid w:val="00786790"/>
    <w:rsid w:val="00787B03"/>
    <w:rsid w:val="00791BCC"/>
    <w:rsid w:val="00794295"/>
    <w:rsid w:val="00794822"/>
    <w:rsid w:val="00795E13"/>
    <w:rsid w:val="00797054"/>
    <w:rsid w:val="007A4183"/>
    <w:rsid w:val="007A4973"/>
    <w:rsid w:val="007A63F3"/>
    <w:rsid w:val="007A6BB4"/>
    <w:rsid w:val="007A7C86"/>
    <w:rsid w:val="007C3F14"/>
    <w:rsid w:val="007D1525"/>
    <w:rsid w:val="007D675E"/>
    <w:rsid w:val="007E1ADD"/>
    <w:rsid w:val="007E1DF6"/>
    <w:rsid w:val="007E27B1"/>
    <w:rsid w:val="007E2A13"/>
    <w:rsid w:val="007E4B26"/>
    <w:rsid w:val="007E6186"/>
    <w:rsid w:val="007E7460"/>
    <w:rsid w:val="007F3F22"/>
    <w:rsid w:val="007F4480"/>
    <w:rsid w:val="007F5265"/>
    <w:rsid w:val="008070A8"/>
    <w:rsid w:val="00807183"/>
    <w:rsid w:val="00813F17"/>
    <w:rsid w:val="00813F1C"/>
    <w:rsid w:val="00815C45"/>
    <w:rsid w:val="00817435"/>
    <w:rsid w:val="00837EE4"/>
    <w:rsid w:val="008447B9"/>
    <w:rsid w:val="0085255E"/>
    <w:rsid w:val="00865776"/>
    <w:rsid w:val="00867347"/>
    <w:rsid w:val="00873E6A"/>
    <w:rsid w:val="008752DE"/>
    <w:rsid w:val="00884413"/>
    <w:rsid w:val="00884AB6"/>
    <w:rsid w:val="00885F81"/>
    <w:rsid w:val="008955D6"/>
    <w:rsid w:val="008A409D"/>
    <w:rsid w:val="008B04BF"/>
    <w:rsid w:val="008B42B0"/>
    <w:rsid w:val="008B6677"/>
    <w:rsid w:val="008C10E3"/>
    <w:rsid w:val="008C3BDF"/>
    <w:rsid w:val="008D012F"/>
    <w:rsid w:val="008D3220"/>
    <w:rsid w:val="008E0CFE"/>
    <w:rsid w:val="008E1745"/>
    <w:rsid w:val="008E183C"/>
    <w:rsid w:val="008E332A"/>
    <w:rsid w:val="0090266F"/>
    <w:rsid w:val="00904F1D"/>
    <w:rsid w:val="00910098"/>
    <w:rsid w:val="00916FF1"/>
    <w:rsid w:val="00922422"/>
    <w:rsid w:val="00926833"/>
    <w:rsid w:val="0092709E"/>
    <w:rsid w:val="00927330"/>
    <w:rsid w:val="00927F4B"/>
    <w:rsid w:val="0093118D"/>
    <w:rsid w:val="00932EC2"/>
    <w:rsid w:val="00933892"/>
    <w:rsid w:val="00944DD9"/>
    <w:rsid w:val="00947456"/>
    <w:rsid w:val="009522C0"/>
    <w:rsid w:val="00961631"/>
    <w:rsid w:val="00961F2A"/>
    <w:rsid w:val="00970B16"/>
    <w:rsid w:val="009715E3"/>
    <w:rsid w:val="00975A96"/>
    <w:rsid w:val="009766C2"/>
    <w:rsid w:val="009771F0"/>
    <w:rsid w:val="00981000"/>
    <w:rsid w:val="00981636"/>
    <w:rsid w:val="00982F04"/>
    <w:rsid w:val="0098403B"/>
    <w:rsid w:val="00987290"/>
    <w:rsid w:val="00990C7B"/>
    <w:rsid w:val="00990CAE"/>
    <w:rsid w:val="009910FE"/>
    <w:rsid w:val="009948DF"/>
    <w:rsid w:val="009A0CA0"/>
    <w:rsid w:val="009A3DCE"/>
    <w:rsid w:val="009A5F69"/>
    <w:rsid w:val="009B7432"/>
    <w:rsid w:val="009C2A1C"/>
    <w:rsid w:val="009C3137"/>
    <w:rsid w:val="009D2F56"/>
    <w:rsid w:val="009D6E40"/>
    <w:rsid w:val="009E2B98"/>
    <w:rsid w:val="009E3D4B"/>
    <w:rsid w:val="009E4643"/>
    <w:rsid w:val="009E5370"/>
    <w:rsid w:val="009F678A"/>
    <w:rsid w:val="00A012E4"/>
    <w:rsid w:val="00A06B06"/>
    <w:rsid w:val="00A13528"/>
    <w:rsid w:val="00A14448"/>
    <w:rsid w:val="00A2122F"/>
    <w:rsid w:val="00A24E51"/>
    <w:rsid w:val="00A262AE"/>
    <w:rsid w:val="00A26706"/>
    <w:rsid w:val="00A274F2"/>
    <w:rsid w:val="00A30E0F"/>
    <w:rsid w:val="00A36A23"/>
    <w:rsid w:val="00A45E85"/>
    <w:rsid w:val="00A46F53"/>
    <w:rsid w:val="00A50319"/>
    <w:rsid w:val="00A50B2F"/>
    <w:rsid w:val="00A718B4"/>
    <w:rsid w:val="00A72BAA"/>
    <w:rsid w:val="00A766BD"/>
    <w:rsid w:val="00A8050D"/>
    <w:rsid w:val="00A80B33"/>
    <w:rsid w:val="00A81A0D"/>
    <w:rsid w:val="00A83B6D"/>
    <w:rsid w:val="00A85CB9"/>
    <w:rsid w:val="00A87AAC"/>
    <w:rsid w:val="00A90CF4"/>
    <w:rsid w:val="00A92575"/>
    <w:rsid w:val="00A96F65"/>
    <w:rsid w:val="00A976FB"/>
    <w:rsid w:val="00AA48D3"/>
    <w:rsid w:val="00AA4ADC"/>
    <w:rsid w:val="00AA5CC8"/>
    <w:rsid w:val="00AA729F"/>
    <w:rsid w:val="00AB0731"/>
    <w:rsid w:val="00AB178E"/>
    <w:rsid w:val="00AB36B7"/>
    <w:rsid w:val="00AB4E01"/>
    <w:rsid w:val="00AB52BB"/>
    <w:rsid w:val="00AB6641"/>
    <w:rsid w:val="00AD30FB"/>
    <w:rsid w:val="00AF533C"/>
    <w:rsid w:val="00AF5A1B"/>
    <w:rsid w:val="00AF6998"/>
    <w:rsid w:val="00B04050"/>
    <w:rsid w:val="00B05687"/>
    <w:rsid w:val="00B07A45"/>
    <w:rsid w:val="00B11217"/>
    <w:rsid w:val="00B17858"/>
    <w:rsid w:val="00B23C94"/>
    <w:rsid w:val="00B26C5D"/>
    <w:rsid w:val="00B31446"/>
    <w:rsid w:val="00B32DCD"/>
    <w:rsid w:val="00B34E7A"/>
    <w:rsid w:val="00B3629A"/>
    <w:rsid w:val="00B36CA1"/>
    <w:rsid w:val="00B4122E"/>
    <w:rsid w:val="00B4211A"/>
    <w:rsid w:val="00B46603"/>
    <w:rsid w:val="00B625B8"/>
    <w:rsid w:val="00B633EB"/>
    <w:rsid w:val="00B663FE"/>
    <w:rsid w:val="00B90105"/>
    <w:rsid w:val="00B91CDF"/>
    <w:rsid w:val="00BA0ECB"/>
    <w:rsid w:val="00BA1CAF"/>
    <w:rsid w:val="00BA3D54"/>
    <w:rsid w:val="00BA4B61"/>
    <w:rsid w:val="00BB1AE2"/>
    <w:rsid w:val="00BB3BC7"/>
    <w:rsid w:val="00BC25A8"/>
    <w:rsid w:val="00BD166F"/>
    <w:rsid w:val="00BD30B6"/>
    <w:rsid w:val="00BD7293"/>
    <w:rsid w:val="00BE0F14"/>
    <w:rsid w:val="00BE3BEB"/>
    <w:rsid w:val="00BE7B3E"/>
    <w:rsid w:val="00BF4B33"/>
    <w:rsid w:val="00C02093"/>
    <w:rsid w:val="00C07B44"/>
    <w:rsid w:val="00C1076B"/>
    <w:rsid w:val="00C1208A"/>
    <w:rsid w:val="00C1291C"/>
    <w:rsid w:val="00C12FEE"/>
    <w:rsid w:val="00C31CE2"/>
    <w:rsid w:val="00C323ED"/>
    <w:rsid w:val="00C33419"/>
    <w:rsid w:val="00C34061"/>
    <w:rsid w:val="00C35C53"/>
    <w:rsid w:val="00C36042"/>
    <w:rsid w:val="00C36116"/>
    <w:rsid w:val="00C41C62"/>
    <w:rsid w:val="00C42B7D"/>
    <w:rsid w:val="00C470A8"/>
    <w:rsid w:val="00C51573"/>
    <w:rsid w:val="00C5384C"/>
    <w:rsid w:val="00C551A7"/>
    <w:rsid w:val="00C5797C"/>
    <w:rsid w:val="00C60E3D"/>
    <w:rsid w:val="00C63741"/>
    <w:rsid w:val="00C63B19"/>
    <w:rsid w:val="00C64B25"/>
    <w:rsid w:val="00C67976"/>
    <w:rsid w:val="00C70420"/>
    <w:rsid w:val="00C70D31"/>
    <w:rsid w:val="00C72EE1"/>
    <w:rsid w:val="00C92325"/>
    <w:rsid w:val="00CA200E"/>
    <w:rsid w:val="00CB0234"/>
    <w:rsid w:val="00CB15E9"/>
    <w:rsid w:val="00CC1F32"/>
    <w:rsid w:val="00CC5D3E"/>
    <w:rsid w:val="00CD2267"/>
    <w:rsid w:val="00CD5FAA"/>
    <w:rsid w:val="00CE183C"/>
    <w:rsid w:val="00CE5C9E"/>
    <w:rsid w:val="00CF0145"/>
    <w:rsid w:val="00CF2614"/>
    <w:rsid w:val="00D04C16"/>
    <w:rsid w:val="00D06DB9"/>
    <w:rsid w:val="00D07D3E"/>
    <w:rsid w:val="00D14EF6"/>
    <w:rsid w:val="00D157D9"/>
    <w:rsid w:val="00D16391"/>
    <w:rsid w:val="00D26522"/>
    <w:rsid w:val="00D27935"/>
    <w:rsid w:val="00D30FAF"/>
    <w:rsid w:val="00D34728"/>
    <w:rsid w:val="00D40222"/>
    <w:rsid w:val="00D413A6"/>
    <w:rsid w:val="00D417D3"/>
    <w:rsid w:val="00D43538"/>
    <w:rsid w:val="00D44006"/>
    <w:rsid w:val="00D461FD"/>
    <w:rsid w:val="00D46A2A"/>
    <w:rsid w:val="00D51DC4"/>
    <w:rsid w:val="00D53EB2"/>
    <w:rsid w:val="00D55B9F"/>
    <w:rsid w:val="00D56A38"/>
    <w:rsid w:val="00D574ED"/>
    <w:rsid w:val="00D63DBF"/>
    <w:rsid w:val="00D6574B"/>
    <w:rsid w:val="00D679AD"/>
    <w:rsid w:val="00D700B5"/>
    <w:rsid w:val="00D70940"/>
    <w:rsid w:val="00D77620"/>
    <w:rsid w:val="00D83AEB"/>
    <w:rsid w:val="00D90E73"/>
    <w:rsid w:val="00D91520"/>
    <w:rsid w:val="00D93026"/>
    <w:rsid w:val="00DA167B"/>
    <w:rsid w:val="00DA1B9A"/>
    <w:rsid w:val="00DA3CF8"/>
    <w:rsid w:val="00DB435D"/>
    <w:rsid w:val="00DB6FD6"/>
    <w:rsid w:val="00DC033F"/>
    <w:rsid w:val="00DC34AF"/>
    <w:rsid w:val="00DD046D"/>
    <w:rsid w:val="00DD28E2"/>
    <w:rsid w:val="00DD7F97"/>
    <w:rsid w:val="00DE0581"/>
    <w:rsid w:val="00DE0C64"/>
    <w:rsid w:val="00DE0E7D"/>
    <w:rsid w:val="00DF1AE0"/>
    <w:rsid w:val="00E039D3"/>
    <w:rsid w:val="00E04069"/>
    <w:rsid w:val="00E05910"/>
    <w:rsid w:val="00E063ED"/>
    <w:rsid w:val="00E06F55"/>
    <w:rsid w:val="00E1134A"/>
    <w:rsid w:val="00E12868"/>
    <w:rsid w:val="00E156E5"/>
    <w:rsid w:val="00E2110A"/>
    <w:rsid w:val="00E22B39"/>
    <w:rsid w:val="00E23709"/>
    <w:rsid w:val="00E27DA7"/>
    <w:rsid w:val="00E35CF7"/>
    <w:rsid w:val="00E37CC0"/>
    <w:rsid w:val="00E40387"/>
    <w:rsid w:val="00E43342"/>
    <w:rsid w:val="00E448E2"/>
    <w:rsid w:val="00E47BC0"/>
    <w:rsid w:val="00E51AD1"/>
    <w:rsid w:val="00E537B6"/>
    <w:rsid w:val="00E5606D"/>
    <w:rsid w:val="00E633E4"/>
    <w:rsid w:val="00E668CD"/>
    <w:rsid w:val="00E72323"/>
    <w:rsid w:val="00E72AAC"/>
    <w:rsid w:val="00E74473"/>
    <w:rsid w:val="00E7646C"/>
    <w:rsid w:val="00E76A78"/>
    <w:rsid w:val="00E85B96"/>
    <w:rsid w:val="00EA1E35"/>
    <w:rsid w:val="00EA7181"/>
    <w:rsid w:val="00EC3C23"/>
    <w:rsid w:val="00EC5F1F"/>
    <w:rsid w:val="00EC64C1"/>
    <w:rsid w:val="00ED4DD6"/>
    <w:rsid w:val="00ED7037"/>
    <w:rsid w:val="00EE2233"/>
    <w:rsid w:val="00EE3664"/>
    <w:rsid w:val="00EF03A0"/>
    <w:rsid w:val="00EF0684"/>
    <w:rsid w:val="00F01B40"/>
    <w:rsid w:val="00F028F5"/>
    <w:rsid w:val="00F02CA8"/>
    <w:rsid w:val="00F05E99"/>
    <w:rsid w:val="00F05F13"/>
    <w:rsid w:val="00F106C1"/>
    <w:rsid w:val="00F10CDC"/>
    <w:rsid w:val="00F12286"/>
    <w:rsid w:val="00F1740B"/>
    <w:rsid w:val="00F23C2A"/>
    <w:rsid w:val="00F23C90"/>
    <w:rsid w:val="00F26209"/>
    <w:rsid w:val="00F26A77"/>
    <w:rsid w:val="00F26B45"/>
    <w:rsid w:val="00F26C75"/>
    <w:rsid w:val="00F27437"/>
    <w:rsid w:val="00F27BBD"/>
    <w:rsid w:val="00F31EA6"/>
    <w:rsid w:val="00F34DFA"/>
    <w:rsid w:val="00F35379"/>
    <w:rsid w:val="00F355B2"/>
    <w:rsid w:val="00F4646B"/>
    <w:rsid w:val="00F52C3E"/>
    <w:rsid w:val="00F54730"/>
    <w:rsid w:val="00F61AEB"/>
    <w:rsid w:val="00F64C60"/>
    <w:rsid w:val="00F711F2"/>
    <w:rsid w:val="00F72BAE"/>
    <w:rsid w:val="00F74BAB"/>
    <w:rsid w:val="00F81F82"/>
    <w:rsid w:val="00F86EDF"/>
    <w:rsid w:val="00F93D5C"/>
    <w:rsid w:val="00F93FD0"/>
    <w:rsid w:val="00F94E32"/>
    <w:rsid w:val="00F95602"/>
    <w:rsid w:val="00F9569D"/>
    <w:rsid w:val="00F95B5A"/>
    <w:rsid w:val="00F96084"/>
    <w:rsid w:val="00F969B4"/>
    <w:rsid w:val="00FA3793"/>
    <w:rsid w:val="00FA6729"/>
    <w:rsid w:val="00FA7D05"/>
    <w:rsid w:val="00FB6F2C"/>
    <w:rsid w:val="00FC02F7"/>
    <w:rsid w:val="00FC1A1E"/>
    <w:rsid w:val="00FC3E70"/>
    <w:rsid w:val="00FD0E2E"/>
    <w:rsid w:val="00FD5799"/>
    <w:rsid w:val="00FD76EC"/>
    <w:rsid w:val="00FD7A2C"/>
    <w:rsid w:val="00FE29C0"/>
    <w:rsid w:val="00FE7E80"/>
    <w:rsid w:val="00FF3AA8"/>
    <w:rsid w:val="00FF54D9"/>
    <w:rsid w:val="00FF6D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01ACD7-68CB-478F-8FBA-0705C1B9A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6">
    <w:name w:val="heading 6"/>
    <w:basedOn w:val="Normale"/>
    <w:next w:val="Normale"/>
    <w:link w:val="Titolo6Carattere"/>
    <w:qFormat/>
    <w:rsid w:val="00F61AEB"/>
    <w:pPr>
      <w:keepNext/>
      <w:spacing w:after="0" w:line="240" w:lineRule="auto"/>
      <w:jc w:val="both"/>
      <w:outlineLvl w:val="5"/>
    </w:pPr>
    <w:rPr>
      <w:rFonts w:ascii="Times New Roman" w:eastAsia="Times New Roman" w:hAnsi="Times New Roman" w:cs="Times New Roman"/>
      <w:i/>
      <w:i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551C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43630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36305"/>
  </w:style>
  <w:style w:type="paragraph" w:styleId="Pidipagina">
    <w:name w:val="footer"/>
    <w:basedOn w:val="Normale"/>
    <w:link w:val="PidipaginaCarattere"/>
    <w:uiPriority w:val="99"/>
    <w:unhideWhenUsed/>
    <w:rsid w:val="0043630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36305"/>
  </w:style>
  <w:style w:type="paragraph" w:customStyle="1" w:styleId="CM1">
    <w:name w:val="CM1"/>
    <w:basedOn w:val="Normale"/>
    <w:next w:val="Normale"/>
    <w:uiPriority w:val="99"/>
    <w:rsid w:val="004A5C9D"/>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4A5C9D"/>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4A5C9D"/>
    <w:pPr>
      <w:autoSpaceDE w:val="0"/>
      <w:autoSpaceDN w:val="0"/>
      <w:adjustRightInd w:val="0"/>
      <w:spacing w:after="0" w:line="240" w:lineRule="auto"/>
    </w:pPr>
    <w:rPr>
      <w:rFonts w:ascii="EUAlbertina" w:hAnsi="EUAlbertina"/>
      <w:sz w:val="24"/>
      <w:szCs w:val="24"/>
    </w:rPr>
  </w:style>
  <w:style w:type="paragraph" w:styleId="Paragrafoelenco">
    <w:name w:val="List Paragraph"/>
    <w:basedOn w:val="Normale"/>
    <w:uiPriority w:val="34"/>
    <w:qFormat/>
    <w:rsid w:val="00E27DA7"/>
    <w:pPr>
      <w:ind w:left="720"/>
      <w:contextualSpacing/>
    </w:pPr>
  </w:style>
  <w:style w:type="character" w:customStyle="1" w:styleId="Titolo6Carattere">
    <w:name w:val="Titolo 6 Carattere"/>
    <w:basedOn w:val="Carpredefinitoparagrafo"/>
    <w:link w:val="Titolo6"/>
    <w:rsid w:val="00F61AEB"/>
    <w:rPr>
      <w:rFonts w:ascii="Times New Roman" w:eastAsia="Times New Roman" w:hAnsi="Times New Roman" w:cs="Times New Roman"/>
      <w:i/>
      <w:iCs/>
      <w:sz w:val="24"/>
      <w:szCs w:val="24"/>
      <w:lang w:eastAsia="it-IT"/>
    </w:rPr>
  </w:style>
  <w:style w:type="paragraph" w:styleId="Rientrocorpodeltesto">
    <w:name w:val="Body Text Indent"/>
    <w:basedOn w:val="Normale"/>
    <w:link w:val="RientrocorpodeltestoCarattere"/>
    <w:semiHidden/>
    <w:rsid w:val="00F61AEB"/>
    <w:pPr>
      <w:autoSpaceDE w:val="0"/>
      <w:autoSpaceDN w:val="0"/>
      <w:adjustRightInd w:val="0"/>
      <w:spacing w:after="0" w:line="240" w:lineRule="auto"/>
      <w:ind w:firstLine="900"/>
      <w:jc w:val="both"/>
    </w:pPr>
    <w:rPr>
      <w:rFonts w:ascii="Times New Roman" w:eastAsia="Times New Roman" w:hAnsi="Times New Roman" w:cs="Times New Roman"/>
      <w:sz w:val="26"/>
      <w:szCs w:val="24"/>
      <w:lang w:eastAsia="it-IT"/>
    </w:rPr>
  </w:style>
  <w:style w:type="character" w:customStyle="1" w:styleId="RientrocorpodeltestoCarattere">
    <w:name w:val="Rientro corpo del testo Carattere"/>
    <w:basedOn w:val="Carpredefinitoparagrafo"/>
    <w:link w:val="Rientrocorpodeltesto"/>
    <w:semiHidden/>
    <w:rsid w:val="00F61AEB"/>
    <w:rPr>
      <w:rFonts w:ascii="Times New Roman" w:eastAsia="Times New Roman" w:hAnsi="Times New Roman" w:cs="Times New Roman"/>
      <w:sz w:val="26"/>
      <w:szCs w:val="24"/>
      <w:lang w:eastAsia="it-IT"/>
    </w:rPr>
  </w:style>
  <w:style w:type="paragraph" w:styleId="Testonotaapidipagina">
    <w:name w:val="footnote text"/>
    <w:basedOn w:val="Normale"/>
    <w:link w:val="TestonotaapidipaginaCarattere"/>
    <w:semiHidden/>
    <w:rsid w:val="000B081B"/>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0B081B"/>
    <w:rPr>
      <w:rFonts w:ascii="Times New Roman" w:eastAsia="Times New Roman" w:hAnsi="Times New Roman" w:cs="Times New Roman"/>
      <w:sz w:val="20"/>
      <w:szCs w:val="20"/>
      <w:lang w:eastAsia="it-IT"/>
    </w:rPr>
  </w:style>
  <w:style w:type="character" w:styleId="Rimandonotaapidipagina">
    <w:name w:val="footnote reference"/>
    <w:basedOn w:val="Carpredefinitoparagrafo"/>
    <w:semiHidden/>
    <w:rsid w:val="000B08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6328">
      <w:bodyDiv w:val="1"/>
      <w:marLeft w:val="0"/>
      <w:marRight w:val="0"/>
      <w:marTop w:val="0"/>
      <w:marBottom w:val="0"/>
      <w:divBdr>
        <w:top w:val="none" w:sz="0" w:space="0" w:color="auto"/>
        <w:left w:val="none" w:sz="0" w:space="0" w:color="auto"/>
        <w:bottom w:val="none" w:sz="0" w:space="0" w:color="auto"/>
        <w:right w:val="none" w:sz="0" w:space="0" w:color="auto"/>
      </w:divBdr>
    </w:div>
    <w:div w:id="116778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3BEEF-55E2-4E8B-964F-19D590C0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8349</Words>
  <Characters>47591</Characters>
  <Application>Microsoft Office Word</Application>
  <DocSecurity>0</DocSecurity>
  <Lines>396</Lines>
  <Paragraphs>111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Fagioli</dc:creator>
  <cp:keywords/>
  <dc:description/>
  <cp:lastModifiedBy>Rosita Tombesi</cp:lastModifiedBy>
  <cp:revision>136</cp:revision>
  <dcterms:created xsi:type="dcterms:W3CDTF">2014-01-24T12:00:00Z</dcterms:created>
  <dcterms:modified xsi:type="dcterms:W3CDTF">2014-02-03T16:50:00Z</dcterms:modified>
</cp:coreProperties>
</file>